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B67" w:rsidRDefault="00A83B67">
      <w:pPr>
        <w:ind w:left="851"/>
        <w:rPr>
          <w:rFonts w:ascii="Calibri" w:hAnsi="Calibri" w:cs="Calibri"/>
          <w:color w:val="480B80"/>
          <w:sz w:val="52"/>
          <w:szCs w:val="52"/>
        </w:rPr>
      </w:pPr>
      <w:r>
        <w:rPr>
          <w:rFonts w:ascii="Calibri" w:hAnsi="Calibri" w:cs="Calibri"/>
          <w:color w:val="460B81"/>
          <w:sz w:val="52"/>
          <w:szCs w:val="52"/>
        </w:rPr>
        <w:t>Cambridgeshire</w:t>
      </w:r>
      <w:r>
        <w:rPr>
          <w:rFonts w:ascii="Calibri" w:hAnsi="Calibri" w:cs="Calibri"/>
          <w:color w:val="480B80"/>
          <w:sz w:val="52"/>
          <w:szCs w:val="52"/>
        </w:rPr>
        <w:t xml:space="preserve"> ACRE</w:t>
      </w:r>
    </w:p>
    <w:p w:rsidR="00A83B67" w:rsidRDefault="00A83B67">
      <w:pPr>
        <w:ind w:left="851"/>
        <w:rPr>
          <w:rFonts w:ascii="Calibri" w:hAnsi="Calibri" w:cs="Calibri"/>
          <w:color w:val="480B80"/>
          <w:sz w:val="52"/>
          <w:szCs w:val="52"/>
        </w:rPr>
      </w:pPr>
    </w:p>
    <w:p w:rsidR="00A83B67" w:rsidRDefault="00A83B67">
      <w:pPr>
        <w:ind w:left="851"/>
        <w:rPr>
          <w:rFonts w:ascii="Calibri" w:hAnsi="Calibri" w:cs="Calibri"/>
          <w:b/>
          <w:bCs/>
          <w:color w:val="480B80"/>
          <w:sz w:val="96"/>
          <w:szCs w:val="96"/>
        </w:rPr>
      </w:pPr>
      <w:r>
        <w:rPr>
          <w:rFonts w:ascii="Calibri" w:hAnsi="Calibri" w:cs="Calibri"/>
          <w:b/>
          <w:bCs/>
          <w:color w:val="480B80"/>
          <w:sz w:val="96"/>
          <w:szCs w:val="96"/>
        </w:rPr>
        <w:t>Housing Need Survey</w:t>
      </w:r>
    </w:p>
    <w:p w:rsidR="00A83B67" w:rsidRDefault="00A83B67">
      <w:pPr>
        <w:ind w:left="851"/>
        <w:rPr>
          <w:rFonts w:ascii="Calibri" w:hAnsi="Calibri" w:cs="Calibri"/>
          <w:b/>
          <w:bCs/>
          <w:color w:val="470B80"/>
          <w:sz w:val="96"/>
          <w:szCs w:val="96"/>
        </w:rPr>
      </w:pPr>
      <w:r>
        <w:rPr>
          <w:rFonts w:ascii="Calibri" w:hAnsi="Calibri" w:cs="Calibri"/>
          <w:b/>
          <w:bCs/>
          <w:color w:val="460B81"/>
          <w:sz w:val="96"/>
          <w:szCs w:val="96"/>
        </w:rPr>
        <w:t xml:space="preserve">Results </w:t>
      </w:r>
      <w:r>
        <w:rPr>
          <w:rFonts w:ascii="Calibri" w:hAnsi="Calibri" w:cs="Calibri"/>
          <w:b/>
          <w:bCs/>
          <w:color w:val="470B80"/>
          <w:sz w:val="96"/>
          <w:szCs w:val="96"/>
        </w:rPr>
        <w:t>Report for</w:t>
      </w:r>
    </w:p>
    <w:p w:rsidR="00A83B67" w:rsidRDefault="00A83B67">
      <w:pPr>
        <w:ind w:left="851"/>
        <w:rPr>
          <w:rFonts w:ascii="Calibri" w:hAnsi="Calibri" w:cs="Calibri"/>
          <w:b/>
          <w:bCs/>
          <w:color w:val="460B81"/>
          <w:sz w:val="96"/>
          <w:szCs w:val="96"/>
        </w:rPr>
      </w:pPr>
      <w:r>
        <w:rPr>
          <w:rFonts w:ascii="Calibri" w:hAnsi="Calibri" w:cs="Calibri"/>
          <w:b/>
          <w:bCs/>
          <w:color w:val="460B81"/>
          <w:sz w:val="96"/>
          <w:szCs w:val="96"/>
        </w:rPr>
        <w:t>Melbourn</w:t>
      </w:r>
    </w:p>
    <w:p w:rsidR="00A83B67" w:rsidRDefault="00A83B67">
      <w:pPr>
        <w:rPr>
          <w:rFonts w:cs="Times New Roman"/>
        </w:rPr>
      </w:pPr>
    </w:p>
    <w:p w:rsidR="00A83B67" w:rsidRDefault="00A83B67">
      <w:pPr>
        <w:rPr>
          <w:rFonts w:cs="Times New Roman"/>
        </w:rPr>
      </w:pPr>
      <w:r>
        <w:rPr>
          <w:noProof/>
          <w:lang w:eastAsia="en-GB"/>
        </w:rPr>
        <w:pict>
          <v:rect id="_x0000_s1026" style="position:absolute;margin-left:46.1pt;margin-top:8.6pt;width:447.2pt;height:229.95pt;z-index:251654144" fillcolor="#b16af2" strokecolor="#b16af2"/>
        </w:pict>
      </w:r>
      <w:r>
        <w:rPr>
          <w:noProof/>
          <w:lang w:eastAsia="en-GB"/>
        </w:rPr>
        <w:pict>
          <v:rect id="_x0000_s1027" style="position:absolute;margin-left:-41.95pt;margin-top:8.6pt;width:84.9pt;height:229.95pt;z-index:251653120" fillcolor="#480b80" strokecolor="#480b80"/>
        </w:pict>
      </w: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r>
        <w:rPr>
          <w:noProof/>
          <w:lang w:eastAsia="en-GB"/>
        </w:rPr>
        <w:pict>
          <v:oval id="_x0000_s1028" style="position:absolute;margin-left:224.05pt;margin-top:4.2pt;width:102.1pt;height:102.1pt;z-index:251658240" stroked="f"/>
        </w:pict>
      </w:r>
      <w:r>
        <w:rPr>
          <w:noProof/>
          <w:lang w:eastAsia="en-GB"/>
        </w:rPr>
        <w:pict>
          <v:oval id="_x0000_s1029" style="position:absolute;margin-left:79.5pt;margin-top:4.2pt;width:102.1pt;height:102.1pt;z-index:251657216" stroked="f"/>
        </w:pict>
      </w:r>
      <w:r>
        <w:rPr>
          <w:noProof/>
          <w:lang w:eastAsia="en-GB"/>
        </w:rPr>
        <w:pict>
          <v:oval id="_x0000_s1030" style="position:absolute;margin-left:368.6pt;margin-top:4.2pt;width:102.1pt;height:102.1pt;z-index:251659264" stroked="f"/>
        </w:pict>
      </w: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r>
        <w:rPr>
          <w:noProof/>
          <w:lang w:eastAsia="en-GB"/>
        </w:rPr>
        <w:pict>
          <v:rect id="_x0000_s1031" style="position:absolute;margin-left:-41.95pt;margin-top:7.75pt;width:84.9pt;height:44.05pt;z-index:251655168" fillcolor="#480b80" strokecolor="#480b80"/>
        </w:pict>
      </w:r>
      <w:r>
        <w:rPr>
          <w:noProof/>
          <w:lang w:eastAsia="en-GB"/>
        </w:rPr>
        <w:pict>
          <v:rect id="_x0000_s1032" style="position:absolute;margin-left:46.1pt;margin-top:7.75pt;width:447.2pt;height:44.05pt;z-index:251656192;v-text-anchor:middle" fillcolor="#e5cdfb" strokecolor="#e5cdfb">
            <v:textbox>
              <w:txbxContent>
                <w:p w:rsidR="00A83B67" w:rsidRDefault="00A83B67">
                  <w:pPr>
                    <w:rPr>
                      <w:rFonts w:ascii="Calibri" w:hAnsi="Calibri" w:cs="Calibri"/>
                      <w:b/>
                      <w:bCs/>
                      <w:color w:val="480B80"/>
                      <w:sz w:val="32"/>
                      <w:szCs w:val="32"/>
                    </w:rPr>
                  </w:pPr>
                  <w:r>
                    <w:rPr>
                      <w:rFonts w:ascii="Calibri" w:hAnsi="Calibri" w:cs="Calibri"/>
                      <w:b/>
                      <w:bCs/>
                      <w:color w:val="480B80"/>
                      <w:sz w:val="32"/>
                      <w:szCs w:val="32"/>
                    </w:rPr>
                    <w:t>Survey undertaken in October 2011</w:t>
                  </w:r>
                </w:p>
              </w:txbxContent>
            </v:textbox>
          </v:rect>
        </w:pict>
      </w: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rPr>
      </w:pPr>
    </w:p>
    <w:p w:rsidR="00A83B67" w:rsidRDefault="00A83B67">
      <w:pPr>
        <w:rPr>
          <w:rFonts w:cs="Times New Roman"/>
          <w:b/>
          <w:bCs/>
          <w:color w:val="0070C0"/>
        </w:rPr>
      </w:pPr>
    </w:p>
    <w:p w:rsidR="00A83B67" w:rsidRDefault="00A83B67">
      <w:pPr>
        <w:jc w:val="right"/>
        <w:rPr>
          <w:rFonts w:cs="Times New Roman"/>
          <w:b/>
          <w:bCs/>
          <w:color w:val="0070C0"/>
        </w:rPr>
        <w:sectPr w:rsidR="00A83B67">
          <w:footerReference w:type="default" r:id="rId7"/>
          <w:pgSz w:w="11906" w:h="16838"/>
          <w:pgMar w:top="1418" w:right="567" w:bottom="1418" w:left="1418" w:header="709" w:footer="709" w:gutter="0"/>
          <w:cols w:space="708"/>
          <w:titlePg/>
          <w:docGrid w:linePitch="360"/>
        </w:sectPr>
      </w:pPr>
      <w:r>
        <w:rPr>
          <w:rFonts w:cs="Times New Roman"/>
          <w:b/>
          <w:bCs/>
          <w:noProof/>
          <w:color w:val="0070C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CA_logo_rgb.jpg" style="width:235.5pt;height:97.5pt;visibility:visible">
            <v:imagedata r:id="rId8" o:title="" croptop="984f" cropleft="630f"/>
          </v:shape>
        </w:pict>
      </w:r>
    </w:p>
    <w:p w:rsidR="00A83B67" w:rsidRDefault="00A83B67">
      <w:pPr>
        <w:pStyle w:val="Heading2"/>
        <w:tabs>
          <w:tab w:val="right" w:pos="9072"/>
        </w:tabs>
        <w:rPr>
          <w:rFonts w:ascii="Calibri" w:hAnsi="Calibri" w:cs="Calibri"/>
          <w:color w:val="480B80"/>
          <w:sz w:val="28"/>
          <w:szCs w:val="28"/>
        </w:rPr>
      </w:pPr>
      <w:r>
        <w:rPr>
          <w:rFonts w:ascii="Calibri" w:hAnsi="Calibri" w:cs="Calibri"/>
          <w:color w:val="480B80"/>
          <w:sz w:val="28"/>
          <w:szCs w:val="28"/>
        </w:rPr>
        <w:t>CONTENTS</w:t>
      </w:r>
      <w:r>
        <w:rPr>
          <w:rFonts w:ascii="Calibri" w:hAnsi="Calibri" w:cs="Calibri"/>
          <w:color w:val="480B80"/>
          <w:sz w:val="28"/>
          <w:szCs w:val="28"/>
        </w:rPr>
        <w:tab/>
        <w:t>PAGE</w:t>
      </w:r>
    </w:p>
    <w:p w:rsidR="00A83B67" w:rsidRDefault="00A83B67">
      <w:pPr>
        <w:tabs>
          <w:tab w:val="right" w:leader="dot" w:pos="9072"/>
        </w:tabs>
        <w:rPr>
          <w:rFonts w:ascii="Calibri" w:hAnsi="Calibri" w:cs="Calibri"/>
          <w:b/>
          <w:bCs/>
        </w:rPr>
      </w:pPr>
    </w:p>
    <w:p w:rsidR="00A83B67" w:rsidRDefault="00A83B67">
      <w:pPr>
        <w:tabs>
          <w:tab w:val="right" w:leader="dot" w:pos="9072"/>
        </w:tabs>
        <w:rPr>
          <w:rFonts w:ascii="Calibri" w:hAnsi="Calibri" w:cs="Calibri"/>
          <w:b/>
          <w:bCs/>
          <w:color w:val="480B80"/>
        </w:rPr>
      </w:pPr>
      <w:r>
        <w:rPr>
          <w:rFonts w:ascii="Calibri" w:hAnsi="Calibri" w:cs="Calibri"/>
          <w:b/>
          <w:bCs/>
          <w:color w:val="480B80"/>
        </w:rPr>
        <w:t xml:space="preserve">CONTEXT AND METHODOLOGY </w:t>
      </w:r>
      <w:r>
        <w:rPr>
          <w:rFonts w:ascii="Calibri" w:hAnsi="Calibri" w:cs="Calibri"/>
          <w:b/>
          <w:bCs/>
          <w:color w:val="480B80"/>
        </w:rPr>
        <w:tab/>
        <w:t>3</w:t>
      </w:r>
    </w:p>
    <w:p w:rsidR="00A83B67" w:rsidRDefault="00A83B67">
      <w:pPr>
        <w:tabs>
          <w:tab w:val="right" w:leader="dot" w:pos="9072"/>
        </w:tabs>
        <w:rPr>
          <w:rFonts w:ascii="Calibri" w:hAnsi="Calibri" w:cs="Calibri"/>
        </w:rPr>
      </w:pPr>
      <w:r>
        <w:rPr>
          <w:rFonts w:ascii="Calibri" w:hAnsi="Calibri" w:cs="Calibri"/>
        </w:rPr>
        <w:t xml:space="preserve">Background to Affordable Rural Housing </w:t>
      </w:r>
      <w:r>
        <w:rPr>
          <w:rFonts w:ascii="Calibri" w:hAnsi="Calibri" w:cs="Calibri"/>
        </w:rPr>
        <w:tab/>
        <w:t>3</w:t>
      </w:r>
    </w:p>
    <w:p w:rsidR="00A83B67" w:rsidRDefault="00A83B67">
      <w:pPr>
        <w:tabs>
          <w:tab w:val="right" w:leader="dot" w:pos="9072"/>
        </w:tabs>
        <w:rPr>
          <w:rFonts w:ascii="Calibri" w:hAnsi="Calibri" w:cs="Calibri"/>
        </w:rPr>
      </w:pPr>
      <w:r>
        <w:rPr>
          <w:rFonts w:ascii="Calibri" w:hAnsi="Calibri" w:cs="Calibri"/>
        </w:rPr>
        <w:t xml:space="preserve">Context </w:t>
      </w:r>
      <w:r>
        <w:rPr>
          <w:rFonts w:ascii="Calibri" w:hAnsi="Calibri" w:cs="Calibri"/>
        </w:rPr>
        <w:tab/>
        <w:t>3</w:t>
      </w:r>
    </w:p>
    <w:p w:rsidR="00A83B67" w:rsidRDefault="00A83B67">
      <w:pPr>
        <w:tabs>
          <w:tab w:val="right" w:leader="dot" w:pos="9072"/>
        </w:tabs>
        <w:rPr>
          <w:rFonts w:ascii="Calibri" w:hAnsi="Calibri" w:cs="Calibri"/>
        </w:rPr>
      </w:pPr>
      <w:r>
        <w:rPr>
          <w:rFonts w:ascii="Calibri" w:hAnsi="Calibri" w:cs="Calibri"/>
        </w:rPr>
        <w:t xml:space="preserve">Methodology </w:t>
      </w:r>
      <w:r>
        <w:rPr>
          <w:rFonts w:ascii="Calibri" w:hAnsi="Calibri" w:cs="Calibri"/>
        </w:rPr>
        <w:tab/>
        <w:t>3</w:t>
      </w:r>
    </w:p>
    <w:p w:rsidR="00A83B67" w:rsidRDefault="00A83B67">
      <w:pPr>
        <w:tabs>
          <w:tab w:val="right" w:leader="dot" w:pos="9072"/>
        </w:tabs>
        <w:rPr>
          <w:rFonts w:ascii="Calibri" w:hAnsi="Calibri" w:cs="Calibri"/>
        </w:rPr>
      </w:pPr>
      <w:r>
        <w:rPr>
          <w:rFonts w:ascii="Calibri" w:hAnsi="Calibri" w:cs="Calibri"/>
        </w:rPr>
        <w:t xml:space="preserve">Melbourn Parish </w:t>
      </w:r>
      <w:r>
        <w:rPr>
          <w:rFonts w:ascii="Calibri" w:hAnsi="Calibri" w:cs="Calibri"/>
        </w:rPr>
        <w:tab/>
        <w:t>4</w:t>
      </w:r>
    </w:p>
    <w:p w:rsidR="00A83B67" w:rsidRDefault="00A83B67">
      <w:pPr>
        <w:tabs>
          <w:tab w:val="right" w:leader="dot" w:pos="9072"/>
        </w:tabs>
        <w:rPr>
          <w:rFonts w:ascii="Calibri" w:hAnsi="Calibri" w:cs="Calibri"/>
        </w:rPr>
      </w:pPr>
      <w:r>
        <w:rPr>
          <w:rFonts w:ascii="Calibri" w:hAnsi="Calibri" w:cs="Calibri"/>
        </w:rPr>
        <w:t xml:space="preserve">Local Income Levels and Affordability </w:t>
      </w:r>
      <w:r>
        <w:rPr>
          <w:rFonts w:ascii="Calibri" w:hAnsi="Calibri" w:cs="Calibri"/>
        </w:rPr>
        <w:tab/>
        <w:t>5</w:t>
      </w:r>
    </w:p>
    <w:p w:rsidR="00A83B67" w:rsidRDefault="00A83B67">
      <w:pPr>
        <w:tabs>
          <w:tab w:val="right" w:leader="dot" w:pos="9072"/>
        </w:tabs>
        <w:rPr>
          <w:rFonts w:ascii="Calibri" w:hAnsi="Calibri" w:cs="Calibri"/>
        </w:rPr>
      </w:pPr>
    </w:p>
    <w:p w:rsidR="00A83B67" w:rsidRDefault="00A83B67">
      <w:pPr>
        <w:tabs>
          <w:tab w:val="right" w:leader="dot" w:pos="9072"/>
        </w:tabs>
        <w:rPr>
          <w:rFonts w:ascii="Calibri" w:hAnsi="Calibri" w:cs="Calibri"/>
          <w:b/>
          <w:bCs/>
          <w:color w:val="480B80"/>
        </w:rPr>
      </w:pPr>
      <w:r>
        <w:rPr>
          <w:rFonts w:ascii="Calibri" w:hAnsi="Calibri" w:cs="Calibri"/>
          <w:b/>
          <w:bCs/>
          <w:color w:val="480B80"/>
        </w:rPr>
        <w:t xml:space="preserve">RESULTS FROM PART ONE: VIEWS ON AFFORDABLE HOUSING DEVELOPMETN AND IDENTIFYING THOSE IN HOUSING NEED </w:t>
      </w:r>
      <w:r>
        <w:rPr>
          <w:rFonts w:ascii="Calibri" w:hAnsi="Calibri" w:cs="Calibri"/>
          <w:b/>
          <w:bCs/>
          <w:color w:val="480B80"/>
        </w:rPr>
        <w:tab/>
        <w:t>9</w:t>
      </w:r>
    </w:p>
    <w:p w:rsidR="00A83B67" w:rsidRDefault="00A83B67">
      <w:pPr>
        <w:tabs>
          <w:tab w:val="right" w:leader="dot" w:pos="9072"/>
        </w:tabs>
        <w:rPr>
          <w:rFonts w:ascii="Calibri" w:hAnsi="Calibri" w:cs="Calibri"/>
        </w:rPr>
      </w:pPr>
      <w:r>
        <w:rPr>
          <w:rFonts w:ascii="Calibri" w:hAnsi="Calibri" w:cs="Calibri"/>
        </w:rPr>
        <w:t>Views on Affordable Housing Development in Melbourn</w:t>
      </w:r>
      <w:r>
        <w:rPr>
          <w:rFonts w:ascii="Calibri" w:hAnsi="Calibri" w:cs="Calibri"/>
        </w:rPr>
        <w:tab/>
        <w:t>9</w:t>
      </w:r>
    </w:p>
    <w:p w:rsidR="00A83B67" w:rsidRDefault="00A83B67">
      <w:pPr>
        <w:tabs>
          <w:tab w:val="right" w:leader="dot" w:pos="9072"/>
        </w:tabs>
        <w:rPr>
          <w:rFonts w:ascii="Calibri" w:hAnsi="Calibri" w:cs="Calibri"/>
        </w:rPr>
      </w:pPr>
      <w:r>
        <w:rPr>
          <w:rFonts w:ascii="Calibri" w:hAnsi="Calibri" w:cs="Calibri"/>
        </w:rPr>
        <w:t>Suitability of Current Home</w:t>
      </w:r>
      <w:r>
        <w:rPr>
          <w:rFonts w:ascii="Calibri" w:hAnsi="Calibri" w:cs="Calibri"/>
        </w:rPr>
        <w:tab/>
        <w:t>11</w:t>
      </w:r>
    </w:p>
    <w:p w:rsidR="00A83B67" w:rsidRDefault="00A83B67">
      <w:pPr>
        <w:tabs>
          <w:tab w:val="right" w:leader="dot" w:pos="9072"/>
        </w:tabs>
        <w:rPr>
          <w:rFonts w:ascii="Calibri" w:hAnsi="Calibri" w:cs="Calibri"/>
        </w:rPr>
      </w:pPr>
    </w:p>
    <w:p w:rsidR="00A83B67" w:rsidRDefault="00A83B67">
      <w:pPr>
        <w:tabs>
          <w:tab w:val="right" w:leader="dot" w:pos="9072"/>
        </w:tabs>
        <w:rPr>
          <w:rFonts w:ascii="Calibri" w:hAnsi="Calibri" w:cs="Calibri"/>
          <w:b/>
          <w:bCs/>
          <w:color w:val="480B80"/>
        </w:rPr>
      </w:pPr>
      <w:r>
        <w:rPr>
          <w:rFonts w:ascii="Calibri" w:hAnsi="Calibri" w:cs="Calibri"/>
          <w:b/>
          <w:bCs/>
          <w:color w:val="480B80"/>
        </w:rPr>
        <w:t xml:space="preserve">RESULTS FROM PART TWO: IDENTIFYING CIRCUMSTANCES AND REQUIREMENTS </w:t>
      </w:r>
      <w:r>
        <w:rPr>
          <w:rFonts w:ascii="Calibri" w:hAnsi="Calibri" w:cs="Calibri"/>
          <w:b/>
          <w:bCs/>
          <w:color w:val="480B80"/>
        </w:rPr>
        <w:tab/>
        <w:t>14</w:t>
      </w:r>
    </w:p>
    <w:p w:rsidR="00A83B67" w:rsidRDefault="00A83B67">
      <w:pPr>
        <w:tabs>
          <w:tab w:val="right" w:leader="dot" w:pos="9072"/>
        </w:tabs>
        <w:rPr>
          <w:rFonts w:ascii="Calibri" w:hAnsi="Calibri" w:cs="Calibri"/>
        </w:rPr>
      </w:pPr>
      <w:r>
        <w:rPr>
          <w:rFonts w:ascii="Calibri" w:hAnsi="Calibri" w:cs="Calibri"/>
        </w:rPr>
        <w:t xml:space="preserve">Local Connection to Melbourn </w:t>
      </w:r>
      <w:r>
        <w:rPr>
          <w:rFonts w:ascii="Calibri" w:hAnsi="Calibri" w:cs="Calibri"/>
        </w:rPr>
        <w:tab/>
        <w:t>14</w:t>
      </w:r>
    </w:p>
    <w:p w:rsidR="00A83B67" w:rsidRDefault="00A83B67">
      <w:pPr>
        <w:tabs>
          <w:tab w:val="right" w:leader="dot" w:pos="9072"/>
        </w:tabs>
        <w:rPr>
          <w:rFonts w:ascii="Calibri" w:hAnsi="Calibri" w:cs="Calibri"/>
        </w:rPr>
      </w:pPr>
      <w:r>
        <w:rPr>
          <w:rFonts w:ascii="Calibri" w:hAnsi="Calibri" w:cs="Calibri"/>
        </w:rPr>
        <w:t>Household Composition</w:t>
      </w:r>
      <w:r>
        <w:rPr>
          <w:rFonts w:ascii="Calibri" w:hAnsi="Calibri" w:cs="Calibri"/>
        </w:rPr>
        <w:tab/>
        <w:t>15</w:t>
      </w:r>
    </w:p>
    <w:p w:rsidR="00A83B67" w:rsidRDefault="00A83B67">
      <w:pPr>
        <w:tabs>
          <w:tab w:val="right" w:leader="dot" w:pos="9072"/>
        </w:tabs>
        <w:rPr>
          <w:rFonts w:ascii="Calibri" w:hAnsi="Calibri" w:cs="Calibri"/>
        </w:rPr>
      </w:pPr>
      <w:r>
        <w:rPr>
          <w:rFonts w:ascii="Calibri" w:hAnsi="Calibri" w:cs="Calibri"/>
        </w:rPr>
        <w:t xml:space="preserve">Property Type, Size and Tenure </w:t>
      </w:r>
      <w:r>
        <w:rPr>
          <w:rFonts w:ascii="Calibri" w:hAnsi="Calibri" w:cs="Calibri"/>
        </w:rPr>
        <w:tab/>
        <w:t>16</w:t>
      </w:r>
    </w:p>
    <w:p w:rsidR="00A83B67" w:rsidRDefault="00A83B67">
      <w:pPr>
        <w:tabs>
          <w:tab w:val="right" w:leader="dot" w:pos="9072"/>
        </w:tabs>
        <w:rPr>
          <w:rFonts w:ascii="Calibri" w:hAnsi="Calibri" w:cs="Calibri"/>
          <w:b/>
          <w:bCs/>
        </w:rPr>
      </w:pPr>
    </w:p>
    <w:p w:rsidR="00A83B67" w:rsidRDefault="00A83B67">
      <w:pPr>
        <w:tabs>
          <w:tab w:val="right" w:leader="dot" w:pos="9072"/>
        </w:tabs>
        <w:rPr>
          <w:rFonts w:ascii="Calibri" w:hAnsi="Calibri" w:cs="Calibri"/>
          <w:b/>
          <w:bCs/>
          <w:color w:val="480B80"/>
        </w:rPr>
      </w:pPr>
      <w:r>
        <w:rPr>
          <w:rFonts w:ascii="Calibri" w:hAnsi="Calibri" w:cs="Calibri"/>
          <w:b/>
          <w:bCs/>
          <w:color w:val="480B80"/>
        </w:rPr>
        <w:t>SUMMARY AND RECOMMENDATION</w:t>
      </w:r>
      <w:r>
        <w:rPr>
          <w:rFonts w:ascii="Calibri" w:hAnsi="Calibri" w:cs="Calibri"/>
          <w:b/>
          <w:bCs/>
          <w:color w:val="480B80"/>
        </w:rPr>
        <w:tab/>
        <w:t>17</w:t>
      </w:r>
    </w:p>
    <w:p w:rsidR="00A83B67" w:rsidRDefault="00A83B67">
      <w:pPr>
        <w:tabs>
          <w:tab w:val="right" w:leader="dot" w:pos="9072"/>
        </w:tabs>
        <w:rPr>
          <w:rFonts w:ascii="Calibri" w:hAnsi="Calibri" w:cs="Calibri"/>
        </w:rPr>
      </w:pPr>
      <w:r>
        <w:rPr>
          <w:rFonts w:ascii="Calibri" w:hAnsi="Calibri" w:cs="Calibri"/>
        </w:rPr>
        <w:t>Pre-Existing Evidence from the Housing Register</w:t>
      </w:r>
      <w:r>
        <w:rPr>
          <w:rFonts w:ascii="Calibri" w:hAnsi="Calibri" w:cs="Calibri"/>
        </w:rPr>
        <w:tab/>
        <w:t>17</w:t>
      </w:r>
    </w:p>
    <w:p w:rsidR="00A83B67" w:rsidRDefault="00A83B67">
      <w:pPr>
        <w:tabs>
          <w:tab w:val="right" w:leader="dot" w:pos="9072"/>
        </w:tabs>
        <w:rPr>
          <w:rFonts w:ascii="Calibri" w:hAnsi="Calibri" w:cs="Calibri"/>
        </w:rPr>
      </w:pPr>
      <w:r>
        <w:rPr>
          <w:rFonts w:ascii="Calibri" w:hAnsi="Calibri" w:cs="Calibri"/>
        </w:rPr>
        <w:t>Findings from Housing Needs Survey</w:t>
      </w:r>
      <w:r>
        <w:rPr>
          <w:rFonts w:ascii="Calibri" w:hAnsi="Calibri" w:cs="Calibri"/>
        </w:rPr>
        <w:tab/>
        <w:t>17</w:t>
      </w:r>
    </w:p>
    <w:p w:rsidR="00A83B67" w:rsidRDefault="00A83B67">
      <w:pPr>
        <w:tabs>
          <w:tab w:val="right" w:leader="dot" w:pos="9072"/>
        </w:tabs>
        <w:rPr>
          <w:rFonts w:ascii="Calibri" w:hAnsi="Calibri" w:cs="Calibri"/>
        </w:rPr>
      </w:pPr>
      <w:r>
        <w:rPr>
          <w:rFonts w:ascii="Calibri" w:hAnsi="Calibri" w:cs="Calibri"/>
        </w:rPr>
        <w:t>Conclusion</w:t>
      </w:r>
      <w:r>
        <w:rPr>
          <w:rFonts w:ascii="Calibri" w:hAnsi="Calibri" w:cs="Calibri"/>
        </w:rPr>
        <w:tab/>
        <w:t>18</w:t>
      </w:r>
    </w:p>
    <w:p w:rsidR="00A83B67" w:rsidRDefault="00A83B67">
      <w:pPr>
        <w:tabs>
          <w:tab w:val="right" w:leader="dot" w:pos="9072"/>
        </w:tabs>
        <w:rPr>
          <w:rFonts w:ascii="Calibri" w:hAnsi="Calibri" w:cs="Calibri"/>
        </w:rPr>
      </w:pPr>
      <w:r>
        <w:rPr>
          <w:rFonts w:ascii="Calibri" w:hAnsi="Calibri" w:cs="Calibri"/>
        </w:rPr>
        <w:t>Recommendation</w:t>
      </w:r>
      <w:r>
        <w:rPr>
          <w:rFonts w:ascii="Calibri" w:hAnsi="Calibri" w:cs="Calibri"/>
        </w:rPr>
        <w:tab/>
        <w:t>18</w:t>
      </w:r>
    </w:p>
    <w:p w:rsidR="00A83B67" w:rsidRDefault="00A83B67">
      <w:pPr>
        <w:tabs>
          <w:tab w:val="right" w:leader="dot" w:pos="9072"/>
        </w:tabs>
        <w:rPr>
          <w:rFonts w:ascii="Calibri" w:hAnsi="Calibri" w:cs="Calibri"/>
        </w:rPr>
      </w:pPr>
    </w:p>
    <w:p w:rsidR="00A83B67" w:rsidRDefault="00A83B67">
      <w:pPr>
        <w:tabs>
          <w:tab w:val="right" w:leader="dot" w:pos="9072"/>
        </w:tabs>
        <w:rPr>
          <w:rFonts w:ascii="Calibri" w:hAnsi="Calibri" w:cs="Calibri"/>
          <w:b/>
          <w:bCs/>
          <w:color w:val="480B80"/>
        </w:rPr>
      </w:pPr>
      <w:r>
        <w:rPr>
          <w:rFonts w:ascii="Calibri" w:hAnsi="Calibri" w:cs="Calibri"/>
          <w:b/>
          <w:bCs/>
          <w:color w:val="480B80"/>
        </w:rPr>
        <w:t xml:space="preserve">APPENDIX 1 – CHOICE BASED LETTINGS AND LOW COST HOME OWNERSHIP </w:t>
      </w:r>
      <w:r>
        <w:rPr>
          <w:rFonts w:ascii="Calibri" w:hAnsi="Calibri" w:cs="Calibri"/>
          <w:b/>
          <w:bCs/>
          <w:color w:val="480B80"/>
        </w:rPr>
        <w:tab/>
        <w:t>19</w:t>
      </w:r>
    </w:p>
    <w:p w:rsidR="00A83B67" w:rsidRDefault="00A83B67">
      <w:pPr>
        <w:tabs>
          <w:tab w:val="right" w:leader="dot" w:pos="9072"/>
        </w:tabs>
        <w:rPr>
          <w:rFonts w:ascii="Calibri" w:hAnsi="Calibri" w:cs="Calibri"/>
          <w:b/>
          <w:bCs/>
          <w:color w:val="480B80"/>
        </w:rPr>
      </w:pPr>
    </w:p>
    <w:p w:rsidR="00A83B67" w:rsidRDefault="00A83B67">
      <w:pPr>
        <w:tabs>
          <w:tab w:val="right" w:leader="dot" w:pos="9072"/>
        </w:tabs>
        <w:rPr>
          <w:rFonts w:ascii="Calibri" w:hAnsi="Calibri" w:cs="Calibri"/>
          <w:b/>
          <w:bCs/>
          <w:color w:val="480B80"/>
        </w:rPr>
      </w:pPr>
    </w:p>
    <w:p w:rsidR="00A83B67" w:rsidRDefault="00A83B67">
      <w:pPr>
        <w:tabs>
          <w:tab w:val="right" w:leader="dot" w:pos="9072"/>
        </w:tabs>
        <w:rPr>
          <w:rFonts w:ascii="Calibri" w:hAnsi="Calibri" w:cs="Calibri"/>
        </w:rPr>
      </w:pPr>
    </w:p>
    <w:p w:rsidR="00A83B67" w:rsidRDefault="00A83B67">
      <w:pPr>
        <w:tabs>
          <w:tab w:val="right" w:leader="dot" w:pos="9072"/>
        </w:tabs>
        <w:rPr>
          <w:rFonts w:ascii="Calibri" w:hAnsi="Calibri" w:cs="Calibri"/>
        </w:rPr>
      </w:pPr>
    </w:p>
    <w:p w:rsidR="00A83B67" w:rsidRDefault="00A83B67">
      <w:pPr>
        <w:rPr>
          <w:rFonts w:ascii="Calibri" w:hAnsi="Calibri" w:cs="Calibri"/>
          <w:b/>
          <w:bCs/>
          <w:sz w:val="28"/>
          <w:szCs w:val="28"/>
        </w:rPr>
      </w:pPr>
      <w:r>
        <w:rPr>
          <w:rFonts w:ascii="Calibri" w:hAnsi="Calibri" w:cs="Calibri"/>
        </w:rPr>
        <w:br w:type="page"/>
      </w:r>
      <w:r>
        <w:rPr>
          <w:rFonts w:ascii="Calibri" w:hAnsi="Calibri" w:cs="Calibri"/>
          <w:b/>
          <w:bCs/>
          <w:sz w:val="28"/>
          <w:szCs w:val="28"/>
        </w:rPr>
        <w:t>CONTEXT AND METHODOLOGY</w:t>
      </w:r>
    </w:p>
    <w:p w:rsidR="00A83B67" w:rsidRDefault="00A83B67">
      <w:pPr>
        <w:rPr>
          <w:rFonts w:ascii="Calibri" w:hAnsi="Calibri" w:cs="Calibri"/>
          <w:b/>
          <w:bCs/>
        </w:rPr>
      </w:pPr>
    </w:p>
    <w:p w:rsidR="00A83B67" w:rsidRDefault="00A83B67">
      <w:pPr>
        <w:rPr>
          <w:rFonts w:ascii="Calibri" w:hAnsi="Calibri" w:cs="Calibri"/>
          <w:color w:val="000000"/>
        </w:rPr>
      </w:pPr>
    </w:p>
    <w:p w:rsidR="00A83B67" w:rsidRDefault="00A83B67">
      <w:pPr>
        <w:rPr>
          <w:rFonts w:ascii="Calibri" w:hAnsi="Calibri" w:cs="Calibri"/>
          <w:b/>
          <w:bCs/>
          <w:color w:val="480B80"/>
          <w:sz w:val="28"/>
          <w:szCs w:val="28"/>
        </w:rPr>
      </w:pPr>
      <w:r>
        <w:rPr>
          <w:rFonts w:ascii="Calibri" w:hAnsi="Calibri" w:cs="Calibri"/>
          <w:b/>
          <w:bCs/>
          <w:color w:val="480B80"/>
          <w:sz w:val="28"/>
          <w:szCs w:val="28"/>
        </w:rPr>
        <w:t>Background to Affordable Rural Housing</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 xml:space="preserve">Affordable housing is housing made available for either rent or shared ownership, based on the evidence of need, to those unable to afford market prices. Affordable housing could be built on a rural exception site which is a site used specifically for affordable housing in a small rural community that would not normally be used for housing because it is subject to policies of restraint. </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Rural exceptions sites can only be used for affordable housing in perpetuity and planning conditions and legal agreements are used to restrict the occupation of property to people falling within categories of need and to those who can prove a local connection through family, residence or work.</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To be eligible for rental properties, applicants must complete an application form to join the local Housing Register and they would then be able to bid for properties through the choice based lettings scheme. To be eligible for low cost shared ownership properties, applicants must apply to the local Housing Register and then apply directly through the local Homebuy Agent. You can read more about choice based lettings and low cost home ownership in Appendix 1.</w:t>
      </w:r>
    </w:p>
    <w:p w:rsidR="00A83B67" w:rsidRDefault="00A83B67">
      <w:pPr>
        <w:rPr>
          <w:rFonts w:ascii="Calibri" w:hAnsi="Calibri" w:cs="Calibri"/>
        </w:rPr>
      </w:pPr>
    </w:p>
    <w:p w:rsidR="00A83B67" w:rsidRDefault="00A83B67">
      <w:pPr>
        <w:rPr>
          <w:rFonts w:ascii="Calibri" w:hAnsi="Calibri" w:cs="Calibri"/>
        </w:rPr>
      </w:pPr>
    </w:p>
    <w:p w:rsidR="00A83B67" w:rsidRDefault="00A83B67">
      <w:pPr>
        <w:rPr>
          <w:rFonts w:ascii="Calibri" w:hAnsi="Calibri" w:cs="Calibri"/>
          <w:b/>
          <w:bCs/>
          <w:color w:val="480B80"/>
          <w:sz w:val="28"/>
          <w:szCs w:val="28"/>
        </w:rPr>
      </w:pPr>
      <w:r>
        <w:rPr>
          <w:rFonts w:ascii="Calibri" w:hAnsi="Calibri" w:cs="Calibri"/>
          <w:b/>
          <w:bCs/>
          <w:color w:val="480B80"/>
          <w:sz w:val="28"/>
          <w:szCs w:val="28"/>
        </w:rPr>
        <w:t>Context</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 xml:space="preserve">In April 2011, Cambridgeshire ACRE was commissioned to carry out a Housing Needs Survey in Melbourn Parish. This survey was carried out on behalf of Jephson Housing Association, an affordable homes provider, in partnership with South Cambridgeshire District Council and Melbourn Parish Council. </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The aim of the survey was to determine existing and future levels of affordable housing need in the parish and to gauge opinion on the value of developing affordable homes in the village.</w:t>
      </w:r>
    </w:p>
    <w:p w:rsidR="00A83B67" w:rsidRDefault="00A83B67">
      <w:pPr>
        <w:rPr>
          <w:rFonts w:ascii="Calibri" w:hAnsi="Calibri" w:cs="Calibri"/>
        </w:rPr>
      </w:pPr>
    </w:p>
    <w:p w:rsidR="00A83B67" w:rsidRDefault="00A83B67">
      <w:pPr>
        <w:rPr>
          <w:rFonts w:ascii="Calibri" w:hAnsi="Calibri" w:cs="Calibri"/>
        </w:rPr>
      </w:pPr>
    </w:p>
    <w:p w:rsidR="00A83B67" w:rsidRDefault="00A83B67">
      <w:pPr>
        <w:rPr>
          <w:rFonts w:ascii="Calibri" w:hAnsi="Calibri" w:cs="Calibri"/>
          <w:b/>
          <w:bCs/>
          <w:color w:val="480B80"/>
          <w:sz w:val="28"/>
          <w:szCs w:val="28"/>
        </w:rPr>
      </w:pPr>
      <w:r>
        <w:rPr>
          <w:rFonts w:ascii="Calibri" w:hAnsi="Calibri" w:cs="Calibri"/>
          <w:b/>
          <w:bCs/>
          <w:color w:val="480B80"/>
          <w:sz w:val="28"/>
          <w:szCs w:val="28"/>
        </w:rPr>
        <w:t>Methodology</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Survey packs were posted out to all 2,041 addresses in the Parish at the end of August 2011. The survey packs included a covering letter from Cambridgeshire ACRE, a letter of support from the Parish Council, a questionnaire and a postage paid envelope for returned forms. Copies of these documents are available upon request from Cambridgeshire ACRE.</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The questionnaire was divided into two sections:</w:t>
      </w:r>
    </w:p>
    <w:p w:rsidR="00A83B67" w:rsidRDefault="00A83B67">
      <w:pPr>
        <w:pStyle w:val="ListParagraph"/>
        <w:numPr>
          <w:ilvl w:val="0"/>
          <w:numId w:val="8"/>
        </w:numPr>
        <w:rPr>
          <w:rFonts w:ascii="Calibri" w:hAnsi="Calibri" w:cs="Calibri"/>
        </w:rPr>
      </w:pPr>
      <w:r>
        <w:rPr>
          <w:rFonts w:ascii="Calibri" w:hAnsi="Calibri" w:cs="Calibri"/>
        </w:rPr>
        <w:t>Part One of the survey form contained questions to identify those who believe they have a housing need. Respondents were also asked if they supported the idea of building a small affordable housing development in the village. All households were asked to complete this section.</w:t>
      </w:r>
    </w:p>
    <w:p w:rsidR="00A83B67" w:rsidRDefault="00A83B67">
      <w:pPr>
        <w:pStyle w:val="ListParagraph"/>
        <w:numPr>
          <w:ilvl w:val="0"/>
          <w:numId w:val="8"/>
        </w:numPr>
        <w:rPr>
          <w:rFonts w:ascii="Calibri" w:hAnsi="Calibri" w:cs="Calibri"/>
        </w:rPr>
      </w:pPr>
      <w:r>
        <w:rPr>
          <w:rFonts w:ascii="Calibri" w:hAnsi="Calibri" w:cs="Calibri"/>
        </w:rPr>
        <w:t>Part Two of the survey form contained questions on household circumstances and housing requirements. This part was only completed by those households who are currently or expecting to be in need of housing.</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The closing date for the survey was 17 October 2011. 369 completed forms were returned giving the survey an 18 per cent response rate.</w:t>
      </w:r>
    </w:p>
    <w:p w:rsidR="00A83B67" w:rsidRDefault="00A83B67">
      <w:pPr>
        <w:rPr>
          <w:rFonts w:ascii="Calibri" w:hAnsi="Calibri" w:cs="Calibri"/>
        </w:rPr>
      </w:pPr>
    </w:p>
    <w:p w:rsidR="00A83B67" w:rsidRDefault="00A83B67">
      <w:pPr>
        <w:rPr>
          <w:rFonts w:ascii="Calibri" w:hAnsi="Calibri" w:cs="Calibri"/>
        </w:rPr>
      </w:pPr>
    </w:p>
    <w:p w:rsidR="00A83B67" w:rsidRDefault="00A83B67">
      <w:pPr>
        <w:rPr>
          <w:rFonts w:ascii="Calibri" w:hAnsi="Calibri" w:cs="Calibri"/>
          <w:b/>
          <w:bCs/>
          <w:color w:val="480B80"/>
          <w:sz w:val="28"/>
          <w:szCs w:val="28"/>
        </w:rPr>
      </w:pPr>
      <w:r>
        <w:rPr>
          <w:rFonts w:ascii="Calibri" w:hAnsi="Calibri" w:cs="Calibri"/>
          <w:b/>
          <w:bCs/>
          <w:color w:val="480B80"/>
          <w:sz w:val="28"/>
          <w:szCs w:val="28"/>
        </w:rPr>
        <w:t>Melbourn Parish</w:t>
      </w:r>
      <w:r>
        <w:rPr>
          <w:rStyle w:val="FootnoteReference"/>
          <w:rFonts w:ascii="Calibri" w:hAnsi="Calibri" w:cs="Calibri"/>
          <w:b/>
          <w:bCs/>
          <w:color w:val="480B80"/>
          <w:sz w:val="28"/>
          <w:szCs w:val="28"/>
        </w:rPr>
        <w:footnoteReference w:id="1"/>
      </w:r>
    </w:p>
    <w:p w:rsidR="00A83B67" w:rsidRDefault="00A83B67">
      <w:pPr>
        <w:pStyle w:val="BodyText"/>
        <w:rPr>
          <w:rFonts w:ascii="Calibri" w:hAnsi="Calibri" w:cs="Calibri"/>
          <w:sz w:val="24"/>
          <w:szCs w:val="24"/>
        </w:rPr>
      </w:pPr>
    </w:p>
    <w:p w:rsidR="00A83B67" w:rsidRDefault="00A83B67">
      <w:pPr>
        <w:pStyle w:val="BodyText"/>
        <w:rPr>
          <w:rFonts w:ascii="Calibri" w:hAnsi="Calibri" w:cs="Calibri"/>
          <w:sz w:val="24"/>
          <w:szCs w:val="24"/>
        </w:rPr>
      </w:pPr>
      <w:r>
        <w:rPr>
          <w:rFonts w:ascii="Calibri" w:hAnsi="Calibri" w:cs="Calibri"/>
          <w:sz w:val="24"/>
          <w:szCs w:val="24"/>
        </w:rPr>
        <w:t xml:space="preserve">Melbourn is a large parish in south Cambridgeshire. It is located between Cambridge and Royston on the southern side of the A10. It has a population of about 4,500 with a relatively high proportion of pensionable age. Its location, general attractiveness and access to rail links means that it is a popular place to live for commuters. However, the science park, on the northern fringe of the village, means that commuter flows are two way. </w:t>
      </w:r>
    </w:p>
    <w:p w:rsidR="00A83B67" w:rsidRDefault="00A83B67">
      <w:pPr>
        <w:pStyle w:val="BodyText"/>
        <w:rPr>
          <w:rFonts w:ascii="Calibri" w:hAnsi="Calibri" w:cs="Calibri"/>
          <w:sz w:val="24"/>
          <w:szCs w:val="24"/>
        </w:rPr>
      </w:pPr>
    </w:p>
    <w:p w:rsidR="00A83B67" w:rsidRDefault="00A83B67">
      <w:pPr>
        <w:pStyle w:val="BodyText"/>
        <w:rPr>
          <w:rFonts w:ascii="Calibri" w:hAnsi="Calibri" w:cs="Calibri"/>
          <w:sz w:val="24"/>
          <w:szCs w:val="24"/>
        </w:rPr>
      </w:pPr>
      <w:r>
        <w:rPr>
          <w:noProof/>
          <w:lang w:eastAsia="en-GB"/>
        </w:rPr>
        <w:pict>
          <v:shape id="Picture 10" o:spid="_x0000_s1033" type="#_x0000_t75" alt="_MV_IMAGE_rcc_area_map" style="position:absolute;margin-left:-5.65pt;margin-top:2.05pt;width:465.75pt;height:327.75pt;z-index:251660288;visibility:visible">
            <v:imagedata r:id="rId9" o:title=""/>
            <w10:wrap type="topAndBottom"/>
          </v:shape>
        </w:pict>
      </w:r>
    </w:p>
    <w:p w:rsidR="00A83B67" w:rsidRDefault="00A83B67">
      <w:pPr>
        <w:pStyle w:val="BodyText"/>
        <w:rPr>
          <w:rFonts w:ascii="Calibri" w:hAnsi="Calibri" w:cs="Calibri"/>
          <w:sz w:val="24"/>
          <w:szCs w:val="24"/>
        </w:rPr>
      </w:pPr>
      <w:r>
        <w:rPr>
          <w:rFonts w:ascii="Calibri" w:hAnsi="Calibri" w:cs="Calibri"/>
          <w:sz w:val="24"/>
          <w:szCs w:val="24"/>
        </w:rPr>
        <w:t>High employment levels are just one of the factors that contribute to Melbourn’s ‘sense of place’. A range of education provision (including the Village College), health services and community facilities also enhance Melbourn’s offer to residents and visitors.</w:t>
      </w:r>
    </w:p>
    <w:p w:rsidR="00A83B67" w:rsidRDefault="00A83B67">
      <w:pPr>
        <w:pStyle w:val="BodyText"/>
        <w:rPr>
          <w:rFonts w:ascii="Calibri" w:hAnsi="Calibri" w:cs="Calibri"/>
          <w:sz w:val="24"/>
          <w:szCs w:val="24"/>
        </w:rPr>
      </w:pPr>
    </w:p>
    <w:p w:rsidR="00A83B67" w:rsidRDefault="00A83B67">
      <w:pPr>
        <w:pStyle w:val="BodyText"/>
        <w:rPr>
          <w:rFonts w:ascii="Calibri" w:hAnsi="Calibri" w:cs="Calibri"/>
          <w:sz w:val="24"/>
          <w:szCs w:val="24"/>
        </w:rPr>
      </w:pPr>
      <w:r>
        <w:rPr>
          <w:rFonts w:ascii="Calibri" w:hAnsi="Calibri" w:cs="Calibri"/>
          <w:sz w:val="24"/>
          <w:szCs w:val="24"/>
        </w:rPr>
        <w:t>Melbourn is relatively wealthy with household income levels above the county average - over 40 per cent of the resident workforce are employed in managerial, professional and associate professional roles. Unemployment is correspondingly low with relatively few people receiving work or income related benefits.</w:t>
      </w:r>
    </w:p>
    <w:p w:rsidR="00A83B67" w:rsidRDefault="00A83B67">
      <w:pPr>
        <w:pStyle w:val="BodyText"/>
        <w:rPr>
          <w:rFonts w:ascii="Calibri" w:hAnsi="Calibri" w:cs="Calibri"/>
          <w:sz w:val="24"/>
          <w:szCs w:val="24"/>
        </w:rPr>
      </w:pPr>
    </w:p>
    <w:p w:rsidR="00A83B67" w:rsidRDefault="00A83B67">
      <w:pPr>
        <w:pStyle w:val="BodyText"/>
        <w:rPr>
          <w:rFonts w:ascii="Calibri" w:hAnsi="Calibri" w:cs="Calibri"/>
          <w:sz w:val="24"/>
          <w:szCs w:val="24"/>
        </w:rPr>
      </w:pPr>
      <w:r>
        <w:rPr>
          <w:rFonts w:ascii="Calibri" w:hAnsi="Calibri" w:cs="Calibri"/>
          <w:sz w:val="24"/>
          <w:szCs w:val="24"/>
        </w:rPr>
        <w:t>Both owner occupation and social renting are above average in Melbourn. There is a very small private rental market – less than half the average for Cambridgeshire. The dwelling stock is dominated by detached and semi-detached accommodation. Flats account for only two per cent of the dwelling stock compared to more than one in ten (12 per cent) in Cambridgeshire and 15 per cent in the East of England.</w:t>
      </w:r>
    </w:p>
    <w:p w:rsidR="00A83B67" w:rsidRDefault="00A83B67">
      <w:pPr>
        <w:pStyle w:val="BodyText"/>
        <w:rPr>
          <w:rFonts w:ascii="Calibri" w:hAnsi="Calibri" w:cs="Calibri"/>
          <w:sz w:val="24"/>
          <w:szCs w:val="24"/>
        </w:rPr>
      </w:pPr>
    </w:p>
    <w:p w:rsidR="00A83B67" w:rsidRDefault="00A83B67">
      <w:pPr>
        <w:pStyle w:val="BodyText"/>
        <w:rPr>
          <w:rFonts w:ascii="Calibri" w:hAnsi="Calibri" w:cs="Calibri"/>
          <w:sz w:val="24"/>
          <w:szCs w:val="24"/>
        </w:rPr>
      </w:pPr>
    </w:p>
    <w:p w:rsidR="00A83B67" w:rsidRDefault="00A83B67">
      <w:pPr>
        <w:pStyle w:val="Caption"/>
        <w:rPr>
          <w:rFonts w:ascii="Calibri" w:hAnsi="Calibri" w:cs="Calibri"/>
          <w:color w:val="480B80"/>
          <w:sz w:val="28"/>
          <w:szCs w:val="28"/>
          <w:u w:val="none"/>
        </w:rPr>
      </w:pPr>
      <w:r>
        <w:rPr>
          <w:rFonts w:ascii="Calibri" w:hAnsi="Calibri" w:cs="Calibri"/>
          <w:color w:val="480B80"/>
          <w:sz w:val="28"/>
          <w:szCs w:val="28"/>
          <w:u w:val="none"/>
        </w:rPr>
        <w:t>Local Income Levels and Affordability</w:t>
      </w:r>
    </w:p>
    <w:p w:rsidR="00A83B67" w:rsidRDefault="00A83B67">
      <w:pPr>
        <w:pStyle w:val="BodyText"/>
        <w:rPr>
          <w:rFonts w:ascii="Calibri" w:hAnsi="Calibri" w:cs="Calibri"/>
          <w:sz w:val="24"/>
          <w:szCs w:val="24"/>
        </w:rPr>
      </w:pPr>
    </w:p>
    <w:p w:rsidR="00A83B67" w:rsidRDefault="00A83B67">
      <w:pPr>
        <w:rPr>
          <w:rFonts w:ascii="Calibri" w:hAnsi="Calibri" w:cs="Calibri"/>
          <w:b/>
          <w:bCs/>
        </w:rPr>
      </w:pPr>
      <w:r>
        <w:rPr>
          <w:rFonts w:ascii="Calibri" w:hAnsi="Calibri" w:cs="Calibri"/>
          <w:b/>
          <w:bCs/>
        </w:rPr>
        <w:t>Buying on the Open Market</w:t>
      </w:r>
    </w:p>
    <w:p w:rsidR="00A83B67" w:rsidRDefault="00A83B67">
      <w:pPr>
        <w:pStyle w:val="BodyText"/>
        <w:rPr>
          <w:rFonts w:ascii="Calibri" w:hAnsi="Calibri" w:cs="Calibri"/>
          <w:sz w:val="24"/>
          <w:szCs w:val="24"/>
        </w:rPr>
      </w:pPr>
      <w:r>
        <w:rPr>
          <w:rFonts w:ascii="Calibri" w:hAnsi="Calibri" w:cs="Calibri"/>
          <w:sz w:val="24"/>
          <w:szCs w:val="24"/>
        </w:rPr>
        <w:t>The average asking price of property in Melbourn is broadly in line with South Cambridgeshire and North Hertfordshire although there are some variations by size of property. Table 1 compares the average asking price of properties for sale on the open market in Melbourn with those in surrounding areas. With the fluid house market situation prices are changing every month and the prices referred to in this report should be treated as illustrative only.</w:t>
      </w:r>
    </w:p>
    <w:p w:rsidR="00A83B67" w:rsidRDefault="00A83B67">
      <w:pPr>
        <w:pStyle w:val="BodyText"/>
        <w:rPr>
          <w:rFonts w:ascii="Calibri" w:hAnsi="Calibri" w:cs="Calibri"/>
          <w:sz w:val="24"/>
          <w:szCs w:val="24"/>
        </w:rPr>
      </w:pPr>
    </w:p>
    <w:p w:rsidR="00A83B67" w:rsidRDefault="00A83B67">
      <w:pPr>
        <w:pStyle w:val="Heading2"/>
        <w:rPr>
          <w:rFonts w:ascii="Calibri" w:hAnsi="Calibri" w:cs="Calibri"/>
          <w:b w:val="0"/>
          <w:bCs w:val="0"/>
          <w:sz w:val="24"/>
          <w:szCs w:val="24"/>
        </w:rPr>
      </w:pPr>
      <w:r>
        <w:rPr>
          <w:rFonts w:ascii="Calibri" w:hAnsi="Calibri" w:cs="Calibri"/>
          <w:b w:val="0"/>
          <w:bCs w:val="0"/>
          <w:i/>
          <w:iCs/>
          <w:sz w:val="24"/>
          <w:szCs w:val="24"/>
        </w:rPr>
        <w:t>Table 1: Average Property Prices, November 2011</w:t>
      </w:r>
      <w:r>
        <w:rPr>
          <w:rStyle w:val="FootnoteReference"/>
          <w:rFonts w:ascii="Calibri" w:hAnsi="Calibri" w:cs="Calibri"/>
          <w:b w:val="0"/>
          <w:bCs w:val="0"/>
          <w:i/>
          <w:iCs/>
          <w:sz w:val="24"/>
          <w:szCs w:val="24"/>
        </w:rPr>
        <w:footnoteReference w:id="2"/>
      </w:r>
    </w:p>
    <w:p w:rsidR="00A83B67" w:rsidRDefault="00A83B67">
      <w:pPr>
        <w:rPr>
          <w:rFonts w:ascii="Calibri" w:hAnsi="Calibri" w:cs="Calibri"/>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26"/>
        <w:gridCol w:w="1326"/>
        <w:gridCol w:w="1326"/>
        <w:gridCol w:w="1326"/>
        <w:gridCol w:w="1327"/>
      </w:tblGrid>
      <w:tr w:rsidR="00A83B67">
        <w:tc>
          <w:tcPr>
            <w:tcW w:w="1326" w:type="dxa"/>
            <w:shd w:val="clear" w:color="auto" w:fill="480B80"/>
            <w:vAlign w:val="center"/>
          </w:tcPr>
          <w:p w:rsidR="00A83B67" w:rsidRDefault="00A83B67">
            <w:pPr>
              <w:rPr>
                <w:rFonts w:ascii="Calibri" w:hAnsi="Calibri" w:cs="Calibri"/>
                <w:color w:val="FFFFFF"/>
              </w:rPr>
            </w:pPr>
            <w:r>
              <w:rPr>
                <w:rFonts w:ascii="Calibri" w:hAnsi="Calibri" w:cs="Calibri"/>
                <w:color w:val="FFFFFF"/>
              </w:rPr>
              <w:t>No. of bedrooms</w:t>
            </w:r>
          </w:p>
        </w:tc>
        <w:tc>
          <w:tcPr>
            <w:tcW w:w="1326" w:type="dxa"/>
            <w:shd w:val="clear" w:color="auto" w:fill="480B80"/>
            <w:vAlign w:val="center"/>
          </w:tcPr>
          <w:p w:rsidR="00A83B67" w:rsidRDefault="00A83B67">
            <w:pPr>
              <w:pStyle w:val="Heading2"/>
              <w:spacing w:before="120" w:after="120"/>
              <w:jc w:val="center"/>
              <w:rPr>
                <w:rFonts w:ascii="Calibri" w:hAnsi="Calibri" w:cs="Calibri"/>
                <w:b w:val="0"/>
                <w:bCs w:val="0"/>
                <w:color w:val="FFFFFF"/>
                <w:sz w:val="24"/>
                <w:szCs w:val="24"/>
              </w:rPr>
            </w:pPr>
            <w:r>
              <w:rPr>
                <w:rFonts w:ascii="Calibri" w:hAnsi="Calibri" w:cs="Calibri"/>
                <w:b w:val="0"/>
                <w:bCs w:val="0"/>
                <w:color w:val="FFFFFF"/>
                <w:sz w:val="24"/>
                <w:szCs w:val="24"/>
              </w:rPr>
              <w:t>Melbourn Parish</w:t>
            </w:r>
          </w:p>
        </w:tc>
        <w:tc>
          <w:tcPr>
            <w:tcW w:w="1326" w:type="dxa"/>
            <w:shd w:val="clear" w:color="auto" w:fill="480B80"/>
            <w:vAlign w:val="center"/>
          </w:tcPr>
          <w:p w:rsidR="00A83B67" w:rsidRDefault="00A83B67">
            <w:pPr>
              <w:pStyle w:val="Heading2"/>
              <w:spacing w:before="120" w:after="120"/>
              <w:jc w:val="center"/>
              <w:rPr>
                <w:rFonts w:ascii="Calibri" w:hAnsi="Calibri" w:cs="Calibri"/>
                <w:b w:val="0"/>
                <w:bCs w:val="0"/>
                <w:color w:val="FFFFFF"/>
                <w:sz w:val="24"/>
                <w:szCs w:val="24"/>
              </w:rPr>
            </w:pPr>
            <w:r>
              <w:rPr>
                <w:rFonts w:ascii="Calibri" w:hAnsi="Calibri" w:cs="Calibri"/>
                <w:b w:val="0"/>
                <w:bCs w:val="0"/>
                <w:color w:val="FFFFFF"/>
                <w:sz w:val="24"/>
                <w:szCs w:val="24"/>
              </w:rPr>
              <w:t>South Cambs</w:t>
            </w:r>
          </w:p>
        </w:tc>
        <w:tc>
          <w:tcPr>
            <w:tcW w:w="1326" w:type="dxa"/>
            <w:shd w:val="clear" w:color="auto" w:fill="480B80"/>
            <w:vAlign w:val="center"/>
          </w:tcPr>
          <w:p w:rsidR="00A83B67" w:rsidRDefault="00A83B67">
            <w:pPr>
              <w:pStyle w:val="Heading2"/>
              <w:spacing w:before="120" w:after="120"/>
              <w:jc w:val="center"/>
              <w:rPr>
                <w:rFonts w:ascii="Calibri" w:hAnsi="Calibri" w:cs="Calibri"/>
                <w:b w:val="0"/>
                <w:bCs w:val="0"/>
                <w:color w:val="FFFFFF"/>
                <w:sz w:val="24"/>
                <w:szCs w:val="24"/>
              </w:rPr>
            </w:pPr>
            <w:r>
              <w:rPr>
                <w:rFonts w:ascii="Calibri" w:hAnsi="Calibri" w:cs="Calibri"/>
                <w:b w:val="0"/>
                <w:bCs w:val="0"/>
                <w:color w:val="FFFFFF"/>
                <w:sz w:val="24"/>
                <w:szCs w:val="24"/>
              </w:rPr>
              <w:t>North Herts</w:t>
            </w:r>
          </w:p>
        </w:tc>
        <w:tc>
          <w:tcPr>
            <w:tcW w:w="1327" w:type="dxa"/>
            <w:shd w:val="clear" w:color="auto" w:fill="480B80"/>
            <w:vAlign w:val="center"/>
          </w:tcPr>
          <w:p w:rsidR="00A83B67" w:rsidRDefault="00A83B67">
            <w:pPr>
              <w:pStyle w:val="Heading2"/>
              <w:spacing w:before="120" w:after="120"/>
              <w:jc w:val="center"/>
              <w:rPr>
                <w:rFonts w:ascii="Calibri" w:hAnsi="Calibri" w:cs="Calibri"/>
                <w:b w:val="0"/>
                <w:bCs w:val="0"/>
                <w:color w:val="FFFFFF"/>
                <w:sz w:val="24"/>
                <w:szCs w:val="24"/>
              </w:rPr>
            </w:pPr>
            <w:r>
              <w:rPr>
                <w:rFonts w:ascii="Calibri" w:hAnsi="Calibri" w:cs="Calibri"/>
                <w:b w:val="0"/>
                <w:bCs w:val="0"/>
                <w:color w:val="FFFFFF"/>
                <w:sz w:val="24"/>
                <w:szCs w:val="24"/>
              </w:rPr>
              <w:t>Cambridge City</w:t>
            </w:r>
          </w:p>
        </w:tc>
      </w:tr>
      <w:tr w:rsidR="00A83B67">
        <w:trPr>
          <w:trHeight w:val="567"/>
        </w:trPr>
        <w:tc>
          <w:tcPr>
            <w:tcW w:w="1326" w:type="dxa"/>
            <w:vAlign w:val="center"/>
          </w:tcPr>
          <w:p w:rsidR="00A83B67" w:rsidRDefault="00A83B67">
            <w:pPr>
              <w:rPr>
                <w:rFonts w:ascii="Calibri" w:hAnsi="Calibri" w:cs="Calibri"/>
              </w:rPr>
            </w:pPr>
            <w:r>
              <w:rPr>
                <w:rFonts w:ascii="Calibri" w:hAnsi="Calibri" w:cs="Calibri"/>
              </w:rPr>
              <w:t>1</w:t>
            </w:r>
          </w:p>
        </w:tc>
        <w:tc>
          <w:tcPr>
            <w:tcW w:w="1326" w:type="dxa"/>
            <w:vAlign w:val="center"/>
          </w:tcPr>
          <w:p w:rsidR="00A83B67" w:rsidRDefault="00A83B67">
            <w:pPr>
              <w:jc w:val="center"/>
              <w:rPr>
                <w:rFonts w:ascii="Calibri" w:hAnsi="Calibri" w:cs="Calibri"/>
              </w:rPr>
            </w:pPr>
            <w:r>
              <w:rPr>
                <w:rFonts w:ascii="Calibri" w:hAnsi="Calibri" w:cs="Calibri"/>
              </w:rPr>
              <w:t>£145,000</w:t>
            </w:r>
          </w:p>
        </w:tc>
        <w:tc>
          <w:tcPr>
            <w:tcW w:w="1326" w:type="dxa"/>
            <w:vAlign w:val="center"/>
          </w:tcPr>
          <w:p w:rsidR="00A83B67" w:rsidRDefault="00A83B67">
            <w:pPr>
              <w:jc w:val="center"/>
              <w:rPr>
                <w:rFonts w:ascii="Calibri" w:hAnsi="Calibri" w:cs="Calibri"/>
              </w:rPr>
            </w:pPr>
            <w:r>
              <w:rPr>
                <w:rFonts w:ascii="Calibri" w:hAnsi="Calibri" w:cs="Calibri"/>
              </w:rPr>
              <w:t>£139,000</w:t>
            </w:r>
          </w:p>
        </w:tc>
        <w:tc>
          <w:tcPr>
            <w:tcW w:w="1326" w:type="dxa"/>
            <w:vAlign w:val="center"/>
          </w:tcPr>
          <w:p w:rsidR="00A83B67" w:rsidRDefault="00A83B67">
            <w:pPr>
              <w:jc w:val="center"/>
              <w:rPr>
                <w:rFonts w:ascii="Calibri" w:hAnsi="Calibri" w:cs="Calibri"/>
              </w:rPr>
            </w:pPr>
            <w:r>
              <w:rPr>
                <w:rFonts w:ascii="Calibri" w:hAnsi="Calibri" w:cs="Calibri"/>
              </w:rPr>
              <w:t>£116,000</w:t>
            </w:r>
          </w:p>
        </w:tc>
        <w:tc>
          <w:tcPr>
            <w:tcW w:w="1327" w:type="dxa"/>
            <w:vAlign w:val="center"/>
          </w:tcPr>
          <w:p w:rsidR="00A83B67" w:rsidRDefault="00A83B67">
            <w:pPr>
              <w:jc w:val="center"/>
              <w:rPr>
                <w:rFonts w:ascii="Calibri" w:hAnsi="Calibri" w:cs="Calibri"/>
              </w:rPr>
            </w:pPr>
            <w:r>
              <w:rPr>
                <w:rFonts w:ascii="Calibri" w:hAnsi="Calibri" w:cs="Calibri"/>
              </w:rPr>
              <w:t>£143,000</w:t>
            </w:r>
          </w:p>
        </w:tc>
      </w:tr>
      <w:tr w:rsidR="00A83B67">
        <w:trPr>
          <w:trHeight w:val="567"/>
        </w:trPr>
        <w:tc>
          <w:tcPr>
            <w:tcW w:w="1326" w:type="dxa"/>
            <w:vAlign w:val="center"/>
          </w:tcPr>
          <w:p w:rsidR="00A83B67" w:rsidRDefault="00A83B67">
            <w:pPr>
              <w:rPr>
                <w:rFonts w:ascii="Calibri" w:hAnsi="Calibri" w:cs="Calibri"/>
              </w:rPr>
            </w:pPr>
            <w:r>
              <w:rPr>
                <w:rFonts w:ascii="Calibri" w:hAnsi="Calibri" w:cs="Calibri"/>
              </w:rPr>
              <w:t>2</w:t>
            </w:r>
          </w:p>
        </w:tc>
        <w:tc>
          <w:tcPr>
            <w:tcW w:w="1326" w:type="dxa"/>
            <w:vAlign w:val="center"/>
          </w:tcPr>
          <w:p w:rsidR="00A83B67" w:rsidRDefault="00A83B67">
            <w:pPr>
              <w:jc w:val="center"/>
              <w:rPr>
                <w:rFonts w:ascii="Calibri" w:hAnsi="Calibri" w:cs="Calibri"/>
              </w:rPr>
            </w:pPr>
            <w:r>
              <w:rPr>
                <w:rFonts w:ascii="Calibri" w:hAnsi="Calibri" w:cs="Calibri"/>
              </w:rPr>
              <w:t>£168,000</w:t>
            </w:r>
          </w:p>
        </w:tc>
        <w:tc>
          <w:tcPr>
            <w:tcW w:w="1326" w:type="dxa"/>
            <w:vAlign w:val="center"/>
          </w:tcPr>
          <w:p w:rsidR="00A83B67" w:rsidRDefault="00A83B67">
            <w:pPr>
              <w:jc w:val="center"/>
              <w:rPr>
                <w:rFonts w:ascii="Calibri" w:hAnsi="Calibri" w:cs="Calibri"/>
              </w:rPr>
            </w:pPr>
            <w:r>
              <w:rPr>
                <w:rFonts w:ascii="Calibri" w:hAnsi="Calibri" w:cs="Calibri"/>
              </w:rPr>
              <w:t>£190,000</w:t>
            </w:r>
          </w:p>
        </w:tc>
        <w:tc>
          <w:tcPr>
            <w:tcW w:w="1326" w:type="dxa"/>
            <w:vAlign w:val="center"/>
          </w:tcPr>
          <w:p w:rsidR="00A83B67" w:rsidRDefault="00A83B67">
            <w:pPr>
              <w:jc w:val="center"/>
              <w:rPr>
                <w:rFonts w:ascii="Calibri" w:hAnsi="Calibri" w:cs="Calibri"/>
              </w:rPr>
            </w:pPr>
            <w:r>
              <w:rPr>
                <w:rFonts w:ascii="Calibri" w:hAnsi="Calibri" w:cs="Calibri"/>
              </w:rPr>
              <w:t>£172,000</w:t>
            </w:r>
          </w:p>
        </w:tc>
        <w:tc>
          <w:tcPr>
            <w:tcW w:w="1327" w:type="dxa"/>
            <w:vAlign w:val="center"/>
          </w:tcPr>
          <w:p w:rsidR="00A83B67" w:rsidRDefault="00A83B67">
            <w:pPr>
              <w:jc w:val="center"/>
              <w:rPr>
                <w:rFonts w:ascii="Calibri" w:hAnsi="Calibri" w:cs="Calibri"/>
              </w:rPr>
            </w:pPr>
            <w:r>
              <w:rPr>
                <w:rFonts w:ascii="Calibri" w:hAnsi="Calibri" w:cs="Calibri"/>
              </w:rPr>
              <w:t>£188,000</w:t>
            </w:r>
          </w:p>
        </w:tc>
      </w:tr>
      <w:tr w:rsidR="00A83B67">
        <w:trPr>
          <w:trHeight w:val="567"/>
        </w:trPr>
        <w:tc>
          <w:tcPr>
            <w:tcW w:w="1326" w:type="dxa"/>
            <w:vAlign w:val="center"/>
          </w:tcPr>
          <w:p w:rsidR="00A83B67" w:rsidRDefault="00A83B67">
            <w:pPr>
              <w:rPr>
                <w:rFonts w:ascii="Calibri" w:hAnsi="Calibri" w:cs="Calibri"/>
              </w:rPr>
            </w:pPr>
            <w:r>
              <w:rPr>
                <w:rFonts w:ascii="Calibri" w:hAnsi="Calibri" w:cs="Calibri"/>
              </w:rPr>
              <w:t>3</w:t>
            </w:r>
          </w:p>
        </w:tc>
        <w:tc>
          <w:tcPr>
            <w:tcW w:w="1326" w:type="dxa"/>
            <w:vAlign w:val="center"/>
          </w:tcPr>
          <w:p w:rsidR="00A83B67" w:rsidRDefault="00A83B67">
            <w:pPr>
              <w:jc w:val="center"/>
              <w:rPr>
                <w:rFonts w:ascii="Calibri" w:hAnsi="Calibri" w:cs="Calibri"/>
              </w:rPr>
            </w:pPr>
            <w:r>
              <w:rPr>
                <w:rFonts w:ascii="Calibri" w:hAnsi="Calibri" w:cs="Calibri"/>
              </w:rPr>
              <w:t>£233,000</w:t>
            </w:r>
          </w:p>
        </w:tc>
        <w:tc>
          <w:tcPr>
            <w:tcW w:w="1326" w:type="dxa"/>
            <w:vAlign w:val="center"/>
          </w:tcPr>
          <w:p w:rsidR="00A83B67" w:rsidRDefault="00A83B67">
            <w:pPr>
              <w:jc w:val="center"/>
              <w:rPr>
                <w:rFonts w:ascii="Calibri" w:hAnsi="Calibri" w:cs="Calibri"/>
              </w:rPr>
            </w:pPr>
            <w:r>
              <w:rPr>
                <w:rFonts w:ascii="Calibri" w:hAnsi="Calibri" w:cs="Calibri"/>
              </w:rPr>
              <w:t>£277,000</w:t>
            </w:r>
          </w:p>
        </w:tc>
        <w:tc>
          <w:tcPr>
            <w:tcW w:w="1326" w:type="dxa"/>
            <w:vAlign w:val="center"/>
          </w:tcPr>
          <w:p w:rsidR="00A83B67" w:rsidRDefault="00A83B67">
            <w:pPr>
              <w:jc w:val="center"/>
              <w:rPr>
                <w:rFonts w:ascii="Calibri" w:hAnsi="Calibri" w:cs="Calibri"/>
              </w:rPr>
            </w:pPr>
            <w:r>
              <w:rPr>
                <w:rFonts w:ascii="Calibri" w:hAnsi="Calibri" w:cs="Calibri"/>
              </w:rPr>
              <w:t>£256,000</w:t>
            </w:r>
          </w:p>
        </w:tc>
        <w:tc>
          <w:tcPr>
            <w:tcW w:w="1327" w:type="dxa"/>
            <w:vAlign w:val="center"/>
          </w:tcPr>
          <w:p w:rsidR="00A83B67" w:rsidRDefault="00A83B67">
            <w:pPr>
              <w:jc w:val="center"/>
              <w:rPr>
                <w:rFonts w:ascii="Calibri" w:hAnsi="Calibri" w:cs="Calibri"/>
              </w:rPr>
            </w:pPr>
            <w:r>
              <w:rPr>
                <w:rFonts w:ascii="Calibri" w:hAnsi="Calibri" w:cs="Calibri"/>
              </w:rPr>
              <w:t>£279,000</w:t>
            </w:r>
          </w:p>
        </w:tc>
      </w:tr>
      <w:tr w:rsidR="00A83B67">
        <w:trPr>
          <w:trHeight w:val="567"/>
        </w:trPr>
        <w:tc>
          <w:tcPr>
            <w:tcW w:w="1326" w:type="dxa"/>
            <w:vAlign w:val="center"/>
          </w:tcPr>
          <w:p w:rsidR="00A83B67" w:rsidRDefault="00A83B67">
            <w:pPr>
              <w:rPr>
                <w:rFonts w:ascii="Calibri" w:hAnsi="Calibri" w:cs="Calibri"/>
              </w:rPr>
            </w:pPr>
            <w:r>
              <w:rPr>
                <w:rFonts w:ascii="Calibri" w:hAnsi="Calibri" w:cs="Calibri"/>
              </w:rPr>
              <w:t>4</w:t>
            </w:r>
          </w:p>
        </w:tc>
        <w:tc>
          <w:tcPr>
            <w:tcW w:w="1326" w:type="dxa"/>
            <w:vAlign w:val="center"/>
          </w:tcPr>
          <w:p w:rsidR="00A83B67" w:rsidRDefault="00A83B67">
            <w:pPr>
              <w:jc w:val="center"/>
              <w:rPr>
                <w:rFonts w:ascii="Calibri" w:hAnsi="Calibri" w:cs="Calibri"/>
              </w:rPr>
            </w:pPr>
            <w:r>
              <w:rPr>
                <w:rFonts w:ascii="Calibri" w:hAnsi="Calibri" w:cs="Calibri"/>
              </w:rPr>
              <w:t>£416,000</w:t>
            </w:r>
          </w:p>
        </w:tc>
        <w:tc>
          <w:tcPr>
            <w:tcW w:w="1326" w:type="dxa"/>
            <w:vAlign w:val="center"/>
          </w:tcPr>
          <w:p w:rsidR="00A83B67" w:rsidRDefault="00A83B67">
            <w:pPr>
              <w:jc w:val="center"/>
              <w:rPr>
                <w:rFonts w:ascii="Calibri" w:hAnsi="Calibri" w:cs="Calibri"/>
              </w:rPr>
            </w:pPr>
            <w:r>
              <w:rPr>
                <w:rFonts w:ascii="Calibri" w:hAnsi="Calibri" w:cs="Calibri"/>
              </w:rPr>
              <w:t>£413,000</w:t>
            </w:r>
          </w:p>
        </w:tc>
        <w:tc>
          <w:tcPr>
            <w:tcW w:w="1326" w:type="dxa"/>
            <w:vAlign w:val="center"/>
          </w:tcPr>
          <w:p w:rsidR="00A83B67" w:rsidRDefault="00A83B67">
            <w:pPr>
              <w:jc w:val="center"/>
              <w:rPr>
                <w:rFonts w:ascii="Calibri" w:hAnsi="Calibri" w:cs="Calibri"/>
              </w:rPr>
            </w:pPr>
            <w:r>
              <w:rPr>
                <w:rFonts w:ascii="Calibri" w:hAnsi="Calibri" w:cs="Calibri"/>
              </w:rPr>
              <w:t>£417,000</w:t>
            </w:r>
          </w:p>
        </w:tc>
        <w:tc>
          <w:tcPr>
            <w:tcW w:w="1327" w:type="dxa"/>
            <w:vAlign w:val="center"/>
          </w:tcPr>
          <w:p w:rsidR="00A83B67" w:rsidRDefault="00A83B67">
            <w:pPr>
              <w:jc w:val="center"/>
              <w:rPr>
                <w:rFonts w:ascii="Calibri" w:hAnsi="Calibri" w:cs="Calibri"/>
              </w:rPr>
            </w:pPr>
            <w:r>
              <w:rPr>
                <w:rFonts w:ascii="Calibri" w:hAnsi="Calibri" w:cs="Calibri"/>
              </w:rPr>
              <w:t>£400,000</w:t>
            </w:r>
          </w:p>
        </w:tc>
      </w:tr>
    </w:tbl>
    <w:p w:rsidR="00A83B67" w:rsidRDefault="00A83B67">
      <w:pPr>
        <w:pStyle w:val="BodyText"/>
        <w:rPr>
          <w:rFonts w:ascii="Calibri" w:hAnsi="Calibri" w:cs="Calibri"/>
          <w:sz w:val="24"/>
          <w:szCs w:val="24"/>
        </w:rPr>
      </w:pPr>
    </w:p>
    <w:p w:rsidR="00A83B67" w:rsidRDefault="00A83B67">
      <w:pPr>
        <w:pStyle w:val="BodyText"/>
        <w:rPr>
          <w:rFonts w:ascii="Calibri" w:hAnsi="Calibri" w:cs="Calibri"/>
          <w:sz w:val="24"/>
          <w:szCs w:val="24"/>
        </w:rPr>
      </w:pPr>
      <w:r>
        <w:rPr>
          <w:rFonts w:ascii="Calibri" w:hAnsi="Calibri" w:cs="Calibri"/>
          <w:sz w:val="24"/>
          <w:szCs w:val="24"/>
        </w:rPr>
        <w:t>A review of properties currently for sale in Melbourn</w:t>
      </w:r>
      <w:r>
        <w:rPr>
          <w:rStyle w:val="FootnoteReference"/>
          <w:rFonts w:ascii="Calibri" w:hAnsi="Calibri" w:cs="Calibri"/>
          <w:sz w:val="24"/>
          <w:szCs w:val="24"/>
        </w:rPr>
        <w:footnoteReference w:id="3"/>
      </w:r>
      <w:r>
        <w:rPr>
          <w:rFonts w:ascii="Calibri" w:hAnsi="Calibri" w:cs="Calibri"/>
          <w:sz w:val="24"/>
          <w:szCs w:val="24"/>
        </w:rPr>
        <w:t xml:space="preserve"> found 32 properties available on the open market; 4 two-bed properties, 17 three-bed properties, 5 four-bed properties and 6 five or six bed properties. No one-bed properties are currently for sale.</w:t>
      </w:r>
    </w:p>
    <w:p w:rsidR="00A83B67" w:rsidRDefault="00A83B67">
      <w:pPr>
        <w:pStyle w:val="BodyText"/>
        <w:rPr>
          <w:rFonts w:ascii="Calibri" w:hAnsi="Calibri" w:cs="Calibri"/>
          <w:sz w:val="24"/>
          <w:szCs w:val="24"/>
        </w:rPr>
      </w:pPr>
    </w:p>
    <w:p w:rsidR="00A83B67" w:rsidRDefault="00A83B67">
      <w:pPr>
        <w:rPr>
          <w:rFonts w:ascii="Calibri" w:hAnsi="Calibri" w:cs="Calibri"/>
        </w:rPr>
      </w:pPr>
      <w:r>
        <w:rPr>
          <w:rFonts w:ascii="Calibri" w:hAnsi="Calibri" w:cs="Calibri"/>
        </w:rPr>
        <w:t>Table 2 (overleaf) takes the current property price data for the various sizes of dwelling currently available on the open market and estimates the annual income that would be required in order to be able to afford the mortgage on such a property.</w:t>
      </w:r>
    </w:p>
    <w:p w:rsidR="00A83B67" w:rsidRDefault="00A83B67">
      <w:pPr>
        <w:rPr>
          <w:rFonts w:ascii="Calibri" w:hAnsi="Calibri" w:cs="Calibri"/>
        </w:rPr>
      </w:pPr>
    </w:p>
    <w:p w:rsidR="00A83B67" w:rsidRDefault="00A83B67">
      <w:pPr>
        <w:pStyle w:val="BodyText3"/>
        <w:rPr>
          <w:rFonts w:ascii="Calibri" w:hAnsi="Calibri" w:cs="Calibri"/>
          <w:color w:val="000000"/>
        </w:rPr>
      </w:pPr>
      <w:r>
        <w:rPr>
          <w:rFonts w:ascii="Calibri" w:hAnsi="Calibri" w:cs="Calibri"/>
          <w:i w:val="0"/>
          <w:iCs w:val="0"/>
          <w:color w:val="000000"/>
          <w:sz w:val="24"/>
          <w:szCs w:val="24"/>
          <w:u w:val="none"/>
        </w:rPr>
        <w:t>For a household to be able to purchase a two bedroom house (at the price stated above) in Melbourn, a household income of £42,000 would be required. The most recently available Paycheck data</w:t>
      </w:r>
      <w:r>
        <w:rPr>
          <w:rStyle w:val="FootnoteReference"/>
          <w:rFonts w:ascii="Calibri" w:hAnsi="Calibri" w:cs="Calibri"/>
          <w:i w:val="0"/>
          <w:iCs w:val="0"/>
          <w:color w:val="000000"/>
          <w:sz w:val="24"/>
          <w:szCs w:val="24"/>
          <w:u w:val="none"/>
        </w:rPr>
        <w:footnoteReference w:id="4"/>
      </w:r>
      <w:r>
        <w:rPr>
          <w:rFonts w:ascii="Calibri" w:hAnsi="Calibri" w:cs="Calibri"/>
          <w:i w:val="0"/>
          <w:iCs w:val="0"/>
          <w:color w:val="000000"/>
          <w:sz w:val="24"/>
          <w:szCs w:val="24"/>
          <w:u w:val="none"/>
        </w:rPr>
        <w:t xml:space="preserve"> reveals that 57% of Melbourn’s population earn less than £40,000. On this basis 48% of households in Melbourn earn insufficient to afford even a one-bed property. The median income in Melbourn Parish is £36,200 per annum.</w:t>
      </w:r>
    </w:p>
    <w:p w:rsidR="00A83B67" w:rsidRDefault="00A83B67">
      <w:pPr>
        <w:rPr>
          <w:rFonts w:ascii="Calibri" w:hAnsi="Calibri" w:cs="Calibri"/>
        </w:rPr>
      </w:pPr>
    </w:p>
    <w:p w:rsidR="00A83B67" w:rsidRDefault="00A83B67">
      <w:pPr>
        <w:pStyle w:val="BodyText3"/>
        <w:rPr>
          <w:rFonts w:ascii="Calibri" w:hAnsi="Calibri" w:cs="Calibri"/>
          <w:i w:val="0"/>
          <w:iCs w:val="0"/>
          <w:sz w:val="24"/>
          <w:szCs w:val="24"/>
          <w:u w:val="none"/>
        </w:rPr>
      </w:pPr>
      <w:r>
        <w:rPr>
          <w:rFonts w:ascii="Calibri" w:hAnsi="Calibri" w:cs="Calibri"/>
          <w:i w:val="0"/>
          <w:iCs w:val="0"/>
          <w:sz w:val="24"/>
          <w:szCs w:val="24"/>
          <w:u w:val="none"/>
        </w:rPr>
        <w:t>It should be remembered that a household’s ability to buy is also dependent on them having saved an appropriate deposit. The calculations presented here assume a mortgage to house value of 75%. In other words, the purchaser can raise a deposit of 25%. It may be possible to secure a mortgage with a lower deposit but this will require even higher income levels.</w:t>
      </w:r>
    </w:p>
    <w:p w:rsidR="00A83B67" w:rsidRDefault="00A83B67">
      <w:pPr>
        <w:rPr>
          <w:rFonts w:ascii="Calibri" w:hAnsi="Calibri" w:cs="Calibri"/>
        </w:rPr>
      </w:pPr>
    </w:p>
    <w:p w:rsidR="00A83B67" w:rsidRDefault="00A83B67">
      <w:pPr>
        <w:pStyle w:val="BodyText3"/>
        <w:rPr>
          <w:rFonts w:ascii="Calibri" w:hAnsi="Calibri" w:cs="Calibri"/>
          <w:i w:val="0"/>
          <w:iCs w:val="0"/>
          <w:sz w:val="24"/>
          <w:szCs w:val="24"/>
          <w:u w:val="none"/>
        </w:rPr>
      </w:pPr>
      <w:r>
        <w:rPr>
          <w:rFonts w:ascii="Calibri" w:hAnsi="Calibri" w:cs="Calibri"/>
          <w:i w:val="0"/>
          <w:iCs w:val="0"/>
          <w:sz w:val="24"/>
          <w:szCs w:val="24"/>
          <w:u w:val="none"/>
        </w:rPr>
        <w:t>Households with insufficient income and deposit saved to afford their desired property, may have to amend their expectations.</w:t>
      </w:r>
    </w:p>
    <w:p w:rsidR="00A83B67" w:rsidRDefault="00A83B67">
      <w:pPr>
        <w:rPr>
          <w:rFonts w:ascii="Calibri" w:hAnsi="Calibri" w:cs="Calibri"/>
        </w:rPr>
      </w:pPr>
    </w:p>
    <w:p w:rsidR="00A83B67" w:rsidRDefault="00A83B67">
      <w:pPr>
        <w:rPr>
          <w:rFonts w:ascii="Calibri" w:hAnsi="Calibri" w:cs="Calibri"/>
          <w:i/>
          <w:iCs/>
        </w:rPr>
      </w:pPr>
      <w:r>
        <w:rPr>
          <w:rFonts w:ascii="Calibri" w:hAnsi="Calibri" w:cs="Calibri"/>
          <w:i/>
          <w:iCs/>
        </w:rPr>
        <w:t>Table 2: Annual Income requirements for open market properties</w:t>
      </w:r>
    </w:p>
    <w:p w:rsidR="00A83B67" w:rsidRDefault="00A83B67">
      <w:pPr>
        <w:rPr>
          <w:rFonts w:ascii="Calibri" w:hAnsi="Calibri" w:cs="Calibri"/>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2"/>
        <w:gridCol w:w="1843"/>
        <w:gridCol w:w="1843"/>
        <w:gridCol w:w="2478"/>
        <w:gridCol w:w="1880"/>
      </w:tblGrid>
      <w:tr w:rsidR="00A83B67">
        <w:tc>
          <w:tcPr>
            <w:tcW w:w="1242"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No. of bedrooms</w:t>
            </w:r>
          </w:p>
        </w:tc>
        <w:tc>
          <w:tcPr>
            <w:tcW w:w="1843"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House Price</w:t>
            </w:r>
          </w:p>
        </w:tc>
        <w:tc>
          <w:tcPr>
            <w:tcW w:w="1843"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Deposit required (assume 25% required)</w:t>
            </w:r>
          </w:p>
        </w:tc>
        <w:tc>
          <w:tcPr>
            <w:tcW w:w="2478"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Annual income required (based on mortgage lending principle of 3 x income)</w:t>
            </w:r>
          </w:p>
        </w:tc>
        <w:tc>
          <w:tcPr>
            <w:tcW w:w="1880"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Monthly salary needed for purchasers</w:t>
            </w:r>
          </w:p>
        </w:tc>
      </w:tr>
      <w:tr w:rsidR="00A83B67">
        <w:tc>
          <w:tcPr>
            <w:tcW w:w="1242" w:type="dxa"/>
          </w:tcPr>
          <w:p w:rsidR="00A83B67" w:rsidRDefault="00A83B67">
            <w:pPr>
              <w:spacing w:before="120" w:after="120"/>
              <w:rPr>
                <w:rFonts w:ascii="Calibri" w:hAnsi="Calibri" w:cs="Calibri"/>
              </w:rPr>
            </w:pPr>
            <w:r>
              <w:rPr>
                <w:rFonts w:ascii="Calibri" w:hAnsi="Calibri" w:cs="Calibri"/>
              </w:rPr>
              <w:t>1</w:t>
            </w:r>
          </w:p>
        </w:tc>
        <w:tc>
          <w:tcPr>
            <w:tcW w:w="1843" w:type="dxa"/>
            <w:vAlign w:val="center"/>
          </w:tcPr>
          <w:p w:rsidR="00A83B67" w:rsidRDefault="00A83B67">
            <w:pPr>
              <w:jc w:val="center"/>
              <w:rPr>
                <w:rFonts w:ascii="Calibri" w:hAnsi="Calibri" w:cs="Calibri"/>
              </w:rPr>
            </w:pPr>
            <w:r>
              <w:rPr>
                <w:rFonts w:ascii="Calibri" w:hAnsi="Calibri" w:cs="Calibri"/>
              </w:rPr>
              <w:t>£145,000</w:t>
            </w:r>
          </w:p>
        </w:tc>
        <w:tc>
          <w:tcPr>
            <w:tcW w:w="1843" w:type="dxa"/>
          </w:tcPr>
          <w:p w:rsidR="00A83B67" w:rsidRDefault="00A83B67">
            <w:pPr>
              <w:spacing w:before="120" w:after="120"/>
              <w:jc w:val="center"/>
              <w:rPr>
                <w:rFonts w:ascii="Calibri" w:hAnsi="Calibri" w:cs="Calibri"/>
              </w:rPr>
            </w:pPr>
            <w:r>
              <w:rPr>
                <w:rFonts w:ascii="Calibri" w:hAnsi="Calibri" w:cs="Calibri"/>
              </w:rPr>
              <w:t>£36,250</w:t>
            </w:r>
          </w:p>
        </w:tc>
        <w:tc>
          <w:tcPr>
            <w:tcW w:w="2478" w:type="dxa"/>
          </w:tcPr>
          <w:p w:rsidR="00A83B67" w:rsidRDefault="00A83B67">
            <w:pPr>
              <w:spacing w:before="120" w:after="120"/>
              <w:jc w:val="center"/>
              <w:rPr>
                <w:rFonts w:ascii="Calibri" w:hAnsi="Calibri" w:cs="Calibri"/>
              </w:rPr>
            </w:pPr>
            <w:r>
              <w:rPr>
                <w:rFonts w:ascii="Calibri" w:hAnsi="Calibri" w:cs="Calibri"/>
              </w:rPr>
              <w:t>£36,250</w:t>
            </w:r>
          </w:p>
        </w:tc>
        <w:tc>
          <w:tcPr>
            <w:tcW w:w="1880" w:type="dxa"/>
          </w:tcPr>
          <w:p w:rsidR="00A83B67" w:rsidRDefault="00A83B67">
            <w:pPr>
              <w:spacing w:before="120" w:after="120"/>
              <w:jc w:val="center"/>
              <w:rPr>
                <w:rFonts w:ascii="Calibri" w:hAnsi="Calibri" w:cs="Calibri"/>
              </w:rPr>
            </w:pPr>
            <w:r>
              <w:rPr>
                <w:rFonts w:ascii="Calibri" w:hAnsi="Calibri" w:cs="Calibri"/>
              </w:rPr>
              <w:t>£3,021</w:t>
            </w:r>
          </w:p>
        </w:tc>
      </w:tr>
      <w:tr w:rsidR="00A83B67">
        <w:tc>
          <w:tcPr>
            <w:tcW w:w="1242" w:type="dxa"/>
          </w:tcPr>
          <w:p w:rsidR="00A83B67" w:rsidRDefault="00A83B67">
            <w:pPr>
              <w:spacing w:before="120" w:after="120"/>
              <w:rPr>
                <w:rFonts w:ascii="Calibri" w:hAnsi="Calibri" w:cs="Calibri"/>
              </w:rPr>
            </w:pPr>
            <w:r>
              <w:rPr>
                <w:rFonts w:ascii="Calibri" w:hAnsi="Calibri" w:cs="Calibri"/>
              </w:rPr>
              <w:t>2</w:t>
            </w:r>
          </w:p>
        </w:tc>
        <w:tc>
          <w:tcPr>
            <w:tcW w:w="1843" w:type="dxa"/>
            <w:vAlign w:val="center"/>
          </w:tcPr>
          <w:p w:rsidR="00A83B67" w:rsidRDefault="00A83B67">
            <w:pPr>
              <w:jc w:val="center"/>
              <w:rPr>
                <w:rFonts w:ascii="Calibri" w:hAnsi="Calibri" w:cs="Calibri"/>
              </w:rPr>
            </w:pPr>
            <w:r>
              <w:rPr>
                <w:rFonts w:ascii="Calibri" w:hAnsi="Calibri" w:cs="Calibri"/>
              </w:rPr>
              <w:t>£168,000</w:t>
            </w:r>
          </w:p>
        </w:tc>
        <w:tc>
          <w:tcPr>
            <w:tcW w:w="1843" w:type="dxa"/>
          </w:tcPr>
          <w:p w:rsidR="00A83B67" w:rsidRDefault="00A83B67">
            <w:pPr>
              <w:spacing w:before="120" w:after="120"/>
              <w:jc w:val="center"/>
              <w:rPr>
                <w:rFonts w:ascii="Calibri" w:hAnsi="Calibri" w:cs="Calibri"/>
              </w:rPr>
            </w:pPr>
            <w:r>
              <w:rPr>
                <w:rFonts w:ascii="Calibri" w:hAnsi="Calibri" w:cs="Calibri"/>
              </w:rPr>
              <w:t>£42,000</w:t>
            </w:r>
          </w:p>
        </w:tc>
        <w:tc>
          <w:tcPr>
            <w:tcW w:w="2478" w:type="dxa"/>
          </w:tcPr>
          <w:p w:rsidR="00A83B67" w:rsidRDefault="00A83B67">
            <w:pPr>
              <w:spacing w:before="120" w:after="120"/>
              <w:jc w:val="center"/>
              <w:rPr>
                <w:rFonts w:ascii="Calibri" w:hAnsi="Calibri" w:cs="Calibri"/>
              </w:rPr>
            </w:pPr>
            <w:r>
              <w:rPr>
                <w:rFonts w:ascii="Calibri" w:hAnsi="Calibri" w:cs="Calibri"/>
              </w:rPr>
              <w:t>£42,000</w:t>
            </w:r>
          </w:p>
        </w:tc>
        <w:tc>
          <w:tcPr>
            <w:tcW w:w="1880" w:type="dxa"/>
          </w:tcPr>
          <w:p w:rsidR="00A83B67" w:rsidRDefault="00A83B67">
            <w:pPr>
              <w:spacing w:before="120" w:after="120"/>
              <w:jc w:val="center"/>
              <w:rPr>
                <w:rFonts w:ascii="Calibri" w:hAnsi="Calibri" w:cs="Calibri"/>
              </w:rPr>
            </w:pPr>
            <w:r>
              <w:rPr>
                <w:rFonts w:ascii="Calibri" w:hAnsi="Calibri" w:cs="Calibri"/>
              </w:rPr>
              <w:t>£3,500</w:t>
            </w:r>
          </w:p>
        </w:tc>
      </w:tr>
      <w:tr w:rsidR="00A83B67">
        <w:tc>
          <w:tcPr>
            <w:tcW w:w="1242" w:type="dxa"/>
          </w:tcPr>
          <w:p w:rsidR="00A83B67" w:rsidRDefault="00A83B67">
            <w:pPr>
              <w:spacing w:before="120" w:after="120"/>
              <w:rPr>
                <w:rFonts w:ascii="Calibri" w:hAnsi="Calibri" w:cs="Calibri"/>
              </w:rPr>
            </w:pPr>
            <w:r>
              <w:rPr>
                <w:rFonts w:ascii="Calibri" w:hAnsi="Calibri" w:cs="Calibri"/>
              </w:rPr>
              <w:t>3</w:t>
            </w:r>
          </w:p>
        </w:tc>
        <w:tc>
          <w:tcPr>
            <w:tcW w:w="1843" w:type="dxa"/>
            <w:vAlign w:val="center"/>
          </w:tcPr>
          <w:p w:rsidR="00A83B67" w:rsidRDefault="00A83B67">
            <w:pPr>
              <w:jc w:val="center"/>
              <w:rPr>
                <w:rFonts w:ascii="Calibri" w:hAnsi="Calibri" w:cs="Calibri"/>
              </w:rPr>
            </w:pPr>
            <w:r>
              <w:rPr>
                <w:rFonts w:ascii="Calibri" w:hAnsi="Calibri" w:cs="Calibri"/>
              </w:rPr>
              <w:t>£233,000</w:t>
            </w:r>
          </w:p>
        </w:tc>
        <w:tc>
          <w:tcPr>
            <w:tcW w:w="1843" w:type="dxa"/>
          </w:tcPr>
          <w:p w:rsidR="00A83B67" w:rsidRDefault="00A83B67">
            <w:pPr>
              <w:spacing w:before="120" w:after="120"/>
              <w:jc w:val="center"/>
              <w:rPr>
                <w:rFonts w:ascii="Calibri" w:hAnsi="Calibri" w:cs="Calibri"/>
              </w:rPr>
            </w:pPr>
            <w:r>
              <w:rPr>
                <w:rFonts w:ascii="Calibri" w:hAnsi="Calibri" w:cs="Calibri"/>
              </w:rPr>
              <w:t>£58,250</w:t>
            </w:r>
          </w:p>
        </w:tc>
        <w:tc>
          <w:tcPr>
            <w:tcW w:w="2478" w:type="dxa"/>
          </w:tcPr>
          <w:p w:rsidR="00A83B67" w:rsidRDefault="00A83B67">
            <w:pPr>
              <w:spacing w:before="120" w:after="120"/>
              <w:jc w:val="center"/>
              <w:rPr>
                <w:rFonts w:ascii="Calibri" w:hAnsi="Calibri" w:cs="Calibri"/>
              </w:rPr>
            </w:pPr>
            <w:r>
              <w:rPr>
                <w:rFonts w:ascii="Calibri" w:hAnsi="Calibri" w:cs="Calibri"/>
              </w:rPr>
              <w:t>£58,250</w:t>
            </w:r>
          </w:p>
        </w:tc>
        <w:tc>
          <w:tcPr>
            <w:tcW w:w="1880" w:type="dxa"/>
          </w:tcPr>
          <w:p w:rsidR="00A83B67" w:rsidRDefault="00A83B67">
            <w:pPr>
              <w:spacing w:before="120" w:after="120"/>
              <w:jc w:val="center"/>
              <w:rPr>
                <w:rFonts w:ascii="Calibri" w:hAnsi="Calibri" w:cs="Calibri"/>
              </w:rPr>
            </w:pPr>
            <w:r>
              <w:rPr>
                <w:rFonts w:ascii="Calibri" w:hAnsi="Calibri" w:cs="Calibri"/>
              </w:rPr>
              <w:t>£4,854</w:t>
            </w:r>
          </w:p>
        </w:tc>
      </w:tr>
      <w:tr w:rsidR="00A83B67">
        <w:tc>
          <w:tcPr>
            <w:tcW w:w="1242" w:type="dxa"/>
          </w:tcPr>
          <w:p w:rsidR="00A83B67" w:rsidRDefault="00A83B67">
            <w:pPr>
              <w:spacing w:before="120" w:after="120"/>
              <w:rPr>
                <w:rFonts w:ascii="Calibri" w:hAnsi="Calibri" w:cs="Calibri"/>
              </w:rPr>
            </w:pPr>
            <w:r>
              <w:rPr>
                <w:rFonts w:ascii="Calibri" w:hAnsi="Calibri" w:cs="Calibri"/>
              </w:rPr>
              <w:t>4</w:t>
            </w:r>
          </w:p>
        </w:tc>
        <w:tc>
          <w:tcPr>
            <w:tcW w:w="1843" w:type="dxa"/>
            <w:vAlign w:val="center"/>
          </w:tcPr>
          <w:p w:rsidR="00A83B67" w:rsidRDefault="00A83B67">
            <w:pPr>
              <w:jc w:val="center"/>
              <w:rPr>
                <w:rFonts w:ascii="Calibri" w:hAnsi="Calibri" w:cs="Calibri"/>
              </w:rPr>
            </w:pPr>
            <w:r>
              <w:rPr>
                <w:rFonts w:ascii="Calibri" w:hAnsi="Calibri" w:cs="Calibri"/>
              </w:rPr>
              <w:t>£416,000</w:t>
            </w:r>
          </w:p>
        </w:tc>
        <w:tc>
          <w:tcPr>
            <w:tcW w:w="1843" w:type="dxa"/>
          </w:tcPr>
          <w:p w:rsidR="00A83B67" w:rsidRDefault="00A83B67">
            <w:pPr>
              <w:spacing w:before="120" w:after="120"/>
              <w:jc w:val="center"/>
              <w:rPr>
                <w:rFonts w:ascii="Calibri" w:hAnsi="Calibri" w:cs="Calibri"/>
              </w:rPr>
            </w:pPr>
            <w:r>
              <w:rPr>
                <w:rFonts w:ascii="Calibri" w:hAnsi="Calibri" w:cs="Calibri"/>
              </w:rPr>
              <w:t>£104,000</w:t>
            </w:r>
          </w:p>
        </w:tc>
        <w:tc>
          <w:tcPr>
            <w:tcW w:w="2478" w:type="dxa"/>
          </w:tcPr>
          <w:p w:rsidR="00A83B67" w:rsidRDefault="00A83B67">
            <w:pPr>
              <w:spacing w:before="120" w:after="120"/>
              <w:jc w:val="center"/>
              <w:rPr>
                <w:rFonts w:ascii="Calibri" w:hAnsi="Calibri" w:cs="Calibri"/>
              </w:rPr>
            </w:pPr>
            <w:r>
              <w:rPr>
                <w:rFonts w:ascii="Calibri" w:hAnsi="Calibri" w:cs="Calibri"/>
              </w:rPr>
              <w:t>£104,000</w:t>
            </w:r>
          </w:p>
        </w:tc>
        <w:tc>
          <w:tcPr>
            <w:tcW w:w="1880" w:type="dxa"/>
          </w:tcPr>
          <w:p w:rsidR="00A83B67" w:rsidRDefault="00A83B67">
            <w:pPr>
              <w:spacing w:before="120" w:after="120"/>
              <w:jc w:val="center"/>
              <w:rPr>
                <w:rFonts w:ascii="Calibri" w:hAnsi="Calibri" w:cs="Calibri"/>
              </w:rPr>
            </w:pPr>
            <w:r>
              <w:rPr>
                <w:rFonts w:ascii="Calibri" w:hAnsi="Calibri" w:cs="Calibri"/>
              </w:rPr>
              <w:t>£8,667</w:t>
            </w:r>
          </w:p>
        </w:tc>
      </w:tr>
    </w:tbl>
    <w:p w:rsidR="00A83B67" w:rsidRDefault="00A83B67">
      <w:pPr>
        <w:pStyle w:val="BodyText3"/>
        <w:rPr>
          <w:rFonts w:ascii="Calibri" w:hAnsi="Calibri" w:cs="Calibri"/>
          <w:i w:val="0"/>
          <w:iCs w:val="0"/>
          <w:sz w:val="24"/>
          <w:szCs w:val="24"/>
          <w:u w:val="none"/>
        </w:rPr>
      </w:pPr>
    </w:p>
    <w:p w:rsidR="00A83B67" w:rsidRDefault="00A83B67">
      <w:pPr>
        <w:pStyle w:val="Heading5"/>
        <w:rPr>
          <w:rFonts w:ascii="Calibri" w:hAnsi="Calibri" w:cs="Calibri"/>
          <w:sz w:val="24"/>
          <w:szCs w:val="24"/>
          <w:u w:val="none"/>
        </w:rPr>
      </w:pPr>
      <w:r>
        <w:rPr>
          <w:rFonts w:ascii="Calibri" w:hAnsi="Calibri" w:cs="Calibri"/>
          <w:sz w:val="24"/>
          <w:szCs w:val="24"/>
          <w:u w:val="none"/>
        </w:rPr>
        <w:t>Buying in Shared Ownership</w:t>
      </w:r>
    </w:p>
    <w:p w:rsidR="00A83B67" w:rsidRDefault="00A83B67">
      <w:pPr>
        <w:rPr>
          <w:rFonts w:ascii="Calibri" w:hAnsi="Calibri" w:cs="Calibri"/>
        </w:rPr>
      </w:pPr>
      <w:r>
        <w:rPr>
          <w:rFonts w:ascii="Calibri" w:hAnsi="Calibri" w:cs="Calibri"/>
        </w:rPr>
        <w:t>Shared ownership gives the opportunity to 'part buy' and 'part rent' a home. This means if a household can't afford to buy a property outright they may be able to afford to buy a share in a property, typically 25%, 50% or 75%. At a point when the household can afford to, they can choose to buy a further share of the property. Where a property has been built on a rural exception site, the maximum percentage that can be owned is 80% so that the property always remains available as affordable housing and can never be sold on the open market.</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Shared ownership housing schemes are tailored for people who cannot afford to buy a suitable home by outright purchase, and who are in housing need. Priority will often be given to people on local authority or housing association waiting lists. When someone moves out of a shared ownership property, their property will either be offered to the housing association to find a buyer or it may be advertised in the local estate agents.</w:t>
      </w:r>
    </w:p>
    <w:p w:rsidR="00A83B67" w:rsidRDefault="00A83B67">
      <w:pPr>
        <w:rPr>
          <w:rFonts w:ascii="Calibri" w:hAnsi="Calibri" w:cs="Calibri"/>
        </w:rPr>
      </w:pPr>
    </w:p>
    <w:p w:rsidR="00A83B67" w:rsidRDefault="00A83B67">
      <w:pPr>
        <w:rPr>
          <w:rFonts w:ascii="Calibri" w:hAnsi="Calibri" w:cs="Calibri"/>
          <w:i/>
          <w:iCs/>
        </w:rPr>
      </w:pPr>
      <w:r>
        <w:rPr>
          <w:rFonts w:ascii="Calibri" w:hAnsi="Calibri" w:cs="Calibri"/>
        </w:rPr>
        <w:t>Shared ownership affordability can be estimated by assuming the householder will purchase a 25% share of the property. To buy this 25% share, the householder would need at least a 10% deposit. Rent would be paid on the unsold equity at a rate of 2.75%. It is likely that a small service charge would also be applicable. Table 3 estimates shared ownership affordability.</w:t>
      </w:r>
    </w:p>
    <w:p w:rsidR="00A83B67" w:rsidRDefault="00A83B67">
      <w:pPr>
        <w:rPr>
          <w:rFonts w:ascii="Calibri" w:hAnsi="Calibri" w:cs="Calibri"/>
          <w:i/>
          <w:iCs/>
        </w:rPr>
      </w:pPr>
    </w:p>
    <w:p w:rsidR="00A83B67" w:rsidRDefault="00A83B67">
      <w:pPr>
        <w:rPr>
          <w:rFonts w:ascii="Calibri" w:hAnsi="Calibri" w:cs="Calibri"/>
          <w:i/>
          <w:iCs/>
        </w:rPr>
      </w:pPr>
      <w:r>
        <w:rPr>
          <w:rFonts w:ascii="Calibri" w:hAnsi="Calibri" w:cs="Calibri"/>
          <w:i/>
          <w:iCs/>
        </w:rPr>
        <w:t xml:space="preserve">Table 3: Cost of purchasing a 25% share of a shared ownership property </w:t>
      </w:r>
      <w:r>
        <w:rPr>
          <w:rStyle w:val="FootnoteReference"/>
          <w:rFonts w:ascii="Calibri" w:hAnsi="Calibri" w:cs="Calibri"/>
          <w:i/>
          <w:iCs/>
        </w:rPr>
        <w:footnoteReference w:id="5"/>
      </w:r>
    </w:p>
    <w:p w:rsidR="00A83B67" w:rsidRDefault="00A83B67">
      <w:pPr>
        <w:rPr>
          <w:rFonts w:ascii="Calibri" w:hAnsi="Calibri" w:cs="Calibri"/>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0"/>
        <w:gridCol w:w="1179"/>
        <w:gridCol w:w="1412"/>
        <w:gridCol w:w="1363"/>
        <w:gridCol w:w="1364"/>
        <w:gridCol w:w="1364"/>
        <w:gridCol w:w="1364"/>
      </w:tblGrid>
      <w:tr w:rsidR="00A83B67">
        <w:tc>
          <w:tcPr>
            <w:tcW w:w="1240"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Property Value</w:t>
            </w:r>
          </w:p>
        </w:tc>
        <w:tc>
          <w:tcPr>
            <w:tcW w:w="1179"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Deposit required</w:t>
            </w:r>
          </w:p>
          <w:p w:rsidR="00A83B67" w:rsidRDefault="00A83B67">
            <w:pPr>
              <w:spacing w:before="120" w:after="120"/>
              <w:rPr>
                <w:rFonts w:ascii="Calibri" w:hAnsi="Calibri" w:cs="Calibri"/>
                <w:color w:val="FFFFFF"/>
              </w:rPr>
            </w:pPr>
            <w:r>
              <w:rPr>
                <w:rFonts w:ascii="Calibri" w:hAnsi="Calibri" w:cs="Calibri"/>
                <w:color w:val="FFFFFF"/>
              </w:rPr>
              <w:t>(Assume 10%)</w:t>
            </w:r>
          </w:p>
        </w:tc>
        <w:tc>
          <w:tcPr>
            <w:tcW w:w="1412"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Mortgage required</w:t>
            </w:r>
          </w:p>
          <w:p w:rsidR="00A83B67" w:rsidRDefault="00A83B67">
            <w:pPr>
              <w:spacing w:before="120" w:after="120"/>
              <w:rPr>
                <w:rFonts w:ascii="Calibri" w:hAnsi="Calibri" w:cs="Calibri"/>
                <w:color w:val="FFFFFF"/>
              </w:rPr>
            </w:pPr>
            <w:r>
              <w:rPr>
                <w:rFonts w:ascii="Calibri" w:hAnsi="Calibri" w:cs="Calibri"/>
                <w:color w:val="FFFFFF"/>
              </w:rPr>
              <w:t>(Subsidy required shown below in brackets)</w:t>
            </w:r>
          </w:p>
        </w:tc>
        <w:tc>
          <w:tcPr>
            <w:tcW w:w="1363"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Mortgage cost pcm</w:t>
            </w:r>
          </w:p>
          <w:p w:rsidR="00A83B67" w:rsidRDefault="00A83B67">
            <w:pPr>
              <w:spacing w:before="120" w:after="120"/>
              <w:rPr>
                <w:rFonts w:ascii="Calibri" w:hAnsi="Calibri" w:cs="Calibri"/>
                <w:color w:val="FFFFFF"/>
              </w:rPr>
            </w:pPr>
            <w:r>
              <w:rPr>
                <w:rFonts w:ascii="Calibri" w:hAnsi="Calibri" w:cs="Calibri"/>
                <w:color w:val="FFFFFF"/>
              </w:rPr>
              <w:t>(Assume rate of 5% for 25 yrs)</w:t>
            </w:r>
          </w:p>
        </w:tc>
        <w:tc>
          <w:tcPr>
            <w:tcW w:w="1364"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Rent / equity loan interest charge pcm</w:t>
            </w:r>
          </w:p>
        </w:tc>
        <w:tc>
          <w:tcPr>
            <w:tcW w:w="1364"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Total pcm</w:t>
            </w:r>
          </w:p>
        </w:tc>
        <w:tc>
          <w:tcPr>
            <w:tcW w:w="1364" w:type="dxa"/>
            <w:shd w:val="clear" w:color="auto" w:fill="480B80"/>
          </w:tcPr>
          <w:p w:rsidR="00A83B67" w:rsidRDefault="00A83B67">
            <w:pPr>
              <w:spacing w:before="120" w:after="120"/>
              <w:rPr>
                <w:rFonts w:ascii="Calibri" w:hAnsi="Calibri" w:cs="Calibri"/>
                <w:color w:val="FFFFFF"/>
              </w:rPr>
            </w:pPr>
            <w:r>
              <w:rPr>
                <w:rFonts w:ascii="Calibri" w:hAnsi="Calibri" w:cs="Calibri"/>
                <w:color w:val="FFFFFF"/>
              </w:rPr>
              <w:t>Household income required</w:t>
            </w:r>
          </w:p>
        </w:tc>
      </w:tr>
      <w:tr w:rsidR="00A83B67">
        <w:tc>
          <w:tcPr>
            <w:tcW w:w="1240" w:type="dxa"/>
          </w:tcPr>
          <w:p w:rsidR="00A83B67" w:rsidRDefault="00A83B67">
            <w:pPr>
              <w:spacing w:before="120" w:after="120"/>
              <w:rPr>
                <w:rFonts w:ascii="Calibri" w:hAnsi="Calibri" w:cs="Calibri"/>
              </w:rPr>
            </w:pPr>
            <w:r>
              <w:rPr>
                <w:rFonts w:ascii="Calibri" w:hAnsi="Calibri" w:cs="Calibri"/>
              </w:rPr>
              <w:t>£120,000</w:t>
            </w:r>
          </w:p>
        </w:tc>
        <w:tc>
          <w:tcPr>
            <w:tcW w:w="1179" w:type="dxa"/>
          </w:tcPr>
          <w:p w:rsidR="00A83B67" w:rsidRDefault="00A83B67">
            <w:pPr>
              <w:spacing w:before="120" w:after="120"/>
              <w:jc w:val="center"/>
              <w:rPr>
                <w:rFonts w:ascii="Calibri" w:hAnsi="Calibri" w:cs="Calibri"/>
              </w:rPr>
            </w:pPr>
            <w:r>
              <w:rPr>
                <w:rFonts w:ascii="Calibri" w:hAnsi="Calibri" w:cs="Calibri"/>
              </w:rPr>
              <w:t>£3,000</w:t>
            </w:r>
          </w:p>
        </w:tc>
        <w:tc>
          <w:tcPr>
            <w:tcW w:w="1412" w:type="dxa"/>
          </w:tcPr>
          <w:p w:rsidR="00A83B67" w:rsidRDefault="00A83B67">
            <w:pPr>
              <w:spacing w:before="120" w:after="120"/>
              <w:jc w:val="center"/>
              <w:rPr>
                <w:rFonts w:ascii="Calibri" w:hAnsi="Calibri" w:cs="Calibri"/>
              </w:rPr>
            </w:pPr>
            <w:r>
              <w:rPr>
                <w:rFonts w:ascii="Calibri" w:hAnsi="Calibri" w:cs="Calibri"/>
              </w:rPr>
              <w:t>£27,000</w:t>
            </w:r>
          </w:p>
          <w:p w:rsidR="00A83B67" w:rsidRDefault="00A83B67">
            <w:pPr>
              <w:spacing w:before="120" w:after="120"/>
              <w:jc w:val="center"/>
              <w:rPr>
                <w:rFonts w:ascii="Calibri" w:hAnsi="Calibri" w:cs="Calibri"/>
              </w:rPr>
            </w:pPr>
            <w:r>
              <w:rPr>
                <w:rFonts w:ascii="Calibri" w:hAnsi="Calibri" w:cs="Calibri"/>
              </w:rPr>
              <w:t>(£90,000)</w:t>
            </w:r>
          </w:p>
        </w:tc>
        <w:tc>
          <w:tcPr>
            <w:tcW w:w="1363" w:type="dxa"/>
          </w:tcPr>
          <w:p w:rsidR="00A83B67" w:rsidRDefault="00A83B67">
            <w:pPr>
              <w:spacing w:before="120" w:after="120"/>
              <w:jc w:val="center"/>
              <w:rPr>
                <w:rFonts w:ascii="Calibri" w:hAnsi="Calibri" w:cs="Calibri"/>
              </w:rPr>
            </w:pPr>
            <w:r>
              <w:rPr>
                <w:rFonts w:ascii="Calibri" w:hAnsi="Calibri" w:cs="Calibri"/>
              </w:rPr>
              <w:t>£157.21</w:t>
            </w:r>
          </w:p>
        </w:tc>
        <w:tc>
          <w:tcPr>
            <w:tcW w:w="1364" w:type="dxa"/>
          </w:tcPr>
          <w:p w:rsidR="00A83B67" w:rsidRDefault="00A83B67">
            <w:pPr>
              <w:spacing w:before="120" w:after="120"/>
              <w:jc w:val="center"/>
              <w:rPr>
                <w:rFonts w:ascii="Calibri" w:hAnsi="Calibri" w:cs="Calibri"/>
              </w:rPr>
            </w:pPr>
            <w:r>
              <w:rPr>
                <w:rFonts w:ascii="Calibri" w:hAnsi="Calibri" w:cs="Calibri"/>
              </w:rPr>
              <w:t>£206.25</w:t>
            </w:r>
          </w:p>
        </w:tc>
        <w:tc>
          <w:tcPr>
            <w:tcW w:w="1364" w:type="dxa"/>
          </w:tcPr>
          <w:p w:rsidR="00A83B67" w:rsidRDefault="00A83B67">
            <w:pPr>
              <w:spacing w:before="120" w:after="120"/>
              <w:jc w:val="center"/>
              <w:rPr>
                <w:rFonts w:ascii="Calibri" w:hAnsi="Calibri" w:cs="Calibri"/>
              </w:rPr>
            </w:pPr>
            <w:r>
              <w:rPr>
                <w:rFonts w:ascii="Calibri" w:hAnsi="Calibri" w:cs="Calibri"/>
              </w:rPr>
              <w:t>£363.46</w:t>
            </w:r>
          </w:p>
        </w:tc>
        <w:tc>
          <w:tcPr>
            <w:tcW w:w="1364" w:type="dxa"/>
          </w:tcPr>
          <w:p w:rsidR="00A83B67" w:rsidRDefault="00A83B67">
            <w:pPr>
              <w:spacing w:before="120" w:after="120"/>
              <w:jc w:val="center"/>
              <w:rPr>
                <w:rFonts w:ascii="Calibri" w:hAnsi="Calibri" w:cs="Calibri"/>
              </w:rPr>
            </w:pPr>
            <w:r>
              <w:rPr>
                <w:rFonts w:ascii="Calibri" w:hAnsi="Calibri" w:cs="Calibri"/>
              </w:rPr>
              <w:t>£13,185</w:t>
            </w:r>
          </w:p>
        </w:tc>
      </w:tr>
      <w:tr w:rsidR="00A83B67">
        <w:tc>
          <w:tcPr>
            <w:tcW w:w="1240" w:type="dxa"/>
          </w:tcPr>
          <w:p w:rsidR="00A83B67" w:rsidRDefault="00A83B67">
            <w:pPr>
              <w:spacing w:before="120" w:after="120"/>
              <w:rPr>
                <w:rFonts w:ascii="Calibri" w:hAnsi="Calibri" w:cs="Calibri"/>
              </w:rPr>
            </w:pPr>
            <w:r>
              <w:rPr>
                <w:rFonts w:ascii="Calibri" w:hAnsi="Calibri" w:cs="Calibri"/>
              </w:rPr>
              <w:t>£180,000</w:t>
            </w:r>
          </w:p>
        </w:tc>
        <w:tc>
          <w:tcPr>
            <w:tcW w:w="1179" w:type="dxa"/>
          </w:tcPr>
          <w:p w:rsidR="00A83B67" w:rsidRDefault="00A83B67">
            <w:pPr>
              <w:spacing w:before="120" w:after="120"/>
              <w:jc w:val="center"/>
              <w:rPr>
                <w:rFonts w:ascii="Calibri" w:hAnsi="Calibri" w:cs="Calibri"/>
              </w:rPr>
            </w:pPr>
            <w:r>
              <w:rPr>
                <w:rFonts w:ascii="Calibri" w:hAnsi="Calibri" w:cs="Calibri"/>
              </w:rPr>
              <w:t>£4,500</w:t>
            </w:r>
          </w:p>
        </w:tc>
        <w:tc>
          <w:tcPr>
            <w:tcW w:w="1412" w:type="dxa"/>
          </w:tcPr>
          <w:p w:rsidR="00A83B67" w:rsidRDefault="00A83B67">
            <w:pPr>
              <w:spacing w:before="120" w:after="120"/>
              <w:jc w:val="center"/>
              <w:rPr>
                <w:rFonts w:ascii="Calibri" w:hAnsi="Calibri" w:cs="Calibri"/>
              </w:rPr>
            </w:pPr>
            <w:r>
              <w:rPr>
                <w:rFonts w:ascii="Calibri" w:hAnsi="Calibri" w:cs="Calibri"/>
              </w:rPr>
              <w:t>£40,500</w:t>
            </w:r>
          </w:p>
          <w:p w:rsidR="00A83B67" w:rsidRDefault="00A83B67">
            <w:pPr>
              <w:spacing w:before="120" w:after="120"/>
              <w:jc w:val="center"/>
              <w:rPr>
                <w:rFonts w:ascii="Calibri" w:hAnsi="Calibri" w:cs="Calibri"/>
              </w:rPr>
            </w:pPr>
            <w:r>
              <w:rPr>
                <w:rFonts w:ascii="Calibri" w:hAnsi="Calibri" w:cs="Calibri"/>
              </w:rPr>
              <w:t>(£135,000)</w:t>
            </w:r>
          </w:p>
        </w:tc>
        <w:tc>
          <w:tcPr>
            <w:tcW w:w="1363" w:type="dxa"/>
          </w:tcPr>
          <w:p w:rsidR="00A83B67" w:rsidRDefault="00A83B67">
            <w:pPr>
              <w:spacing w:before="120" w:after="120"/>
              <w:jc w:val="center"/>
              <w:rPr>
                <w:rFonts w:ascii="Calibri" w:hAnsi="Calibri" w:cs="Calibri"/>
              </w:rPr>
            </w:pPr>
            <w:r>
              <w:rPr>
                <w:rFonts w:ascii="Calibri" w:hAnsi="Calibri" w:cs="Calibri"/>
              </w:rPr>
              <w:t>£235.81</w:t>
            </w:r>
          </w:p>
        </w:tc>
        <w:tc>
          <w:tcPr>
            <w:tcW w:w="1364" w:type="dxa"/>
          </w:tcPr>
          <w:p w:rsidR="00A83B67" w:rsidRDefault="00A83B67">
            <w:pPr>
              <w:spacing w:before="120" w:after="120"/>
              <w:jc w:val="center"/>
              <w:rPr>
                <w:rFonts w:ascii="Calibri" w:hAnsi="Calibri" w:cs="Calibri"/>
              </w:rPr>
            </w:pPr>
            <w:r>
              <w:rPr>
                <w:rFonts w:ascii="Calibri" w:hAnsi="Calibri" w:cs="Calibri"/>
              </w:rPr>
              <w:t>£309.38</w:t>
            </w:r>
          </w:p>
        </w:tc>
        <w:tc>
          <w:tcPr>
            <w:tcW w:w="1364" w:type="dxa"/>
          </w:tcPr>
          <w:p w:rsidR="00A83B67" w:rsidRDefault="00A83B67">
            <w:pPr>
              <w:spacing w:before="120" w:after="120"/>
              <w:jc w:val="center"/>
              <w:rPr>
                <w:rFonts w:ascii="Calibri" w:hAnsi="Calibri" w:cs="Calibri"/>
              </w:rPr>
            </w:pPr>
            <w:r>
              <w:rPr>
                <w:rFonts w:ascii="Calibri" w:hAnsi="Calibri" w:cs="Calibri"/>
              </w:rPr>
              <w:t>£545.19</w:t>
            </w:r>
          </w:p>
        </w:tc>
        <w:tc>
          <w:tcPr>
            <w:tcW w:w="1364" w:type="dxa"/>
          </w:tcPr>
          <w:p w:rsidR="00A83B67" w:rsidRDefault="00A83B67">
            <w:pPr>
              <w:spacing w:before="120" w:after="120"/>
              <w:jc w:val="center"/>
              <w:rPr>
                <w:rFonts w:ascii="Calibri" w:hAnsi="Calibri" w:cs="Calibri"/>
              </w:rPr>
            </w:pPr>
            <w:r>
              <w:rPr>
                <w:rFonts w:ascii="Calibri" w:hAnsi="Calibri" w:cs="Calibri"/>
              </w:rPr>
              <w:t>£19,788</w:t>
            </w:r>
          </w:p>
        </w:tc>
      </w:tr>
    </w:tbl>
    <w:p w:rsidR="00A83B67" w:rsidRDefault="00A83B67">
      <w:pPr>
        <w:pStyle w:val="BodyText3"/>
        <w:rPr>
          <w:rFonts w:ascii="Calibri" w:hAnsi="Calibri" w:cs="Calibri"/>
          <w:i w:val="0"/>
          <w:iCs w:val="0"/>
          <w:sz w:val="24"/>
          <w:szCs w:val="24"/>
          <w:u w:val="none"/>
        </w:rPr>
      </w:pPr>
    </w:p>
    <w:p w:rsidR="00A83B67" w:rsidRDefault="00A83B67">
      <w:pPr>
        <w:pStyle w:val="BodyText3"/>
        <w:rPr>
          <w:rFonts w:ascii="Calibri" w:hAnsi="Calibri" w:cs="Calibri"/>
          <w:i w:val="0"/>
          <w:iCs w:val="0"/>
          <w:sz w:val="24"/>
          <w:szCs w:val="24"/>
          <w:u w:val="none"/>
        </w:rPr>
      </w:pPr>
      <w:r>
        <w:rPr>
          <w:rFonts w:ascii="Calibri" w:hAnsi="Calibri" w:cs="Calibri"/>
          <w:i w:val="0"/>
          <w:iCs w:val="0"/>
          <w:sz w:val="24"/>
          <w:szCs w:val="24"/>
          <w:u w:val="none"/>
        </w:rPr>
        <w:t>Should a household not be able to afford shared ownership, then they could opt for a rental property.</w:t>
      </w:r>
    </w:p>
    <w:p w:rsidR="00A83B67" w:rsidRDefault="00A83B67">
      <w:pPr>
        <w:rPr>
          <w:rFonts w:ascii="Calibri" w:hAnsi="Calibri" w:cs="Calibri"/>
          <w:b/>
          <w:bCs/>
        </w:rPr>
      </w:pPr>
    </w:p>
    <w:p w:rsidR="00A83B67" w:rsidRDefault="00A83B67">
      <w:pPr>
        <w:rPr>
          <w:rFonts w:ascii="Calibri" w:hAnsi="Calibri" w:cs="Calibri"/>
          <w:b/>
          <w:bCs/>
        </w:rPr>
      </w:pPr>
      <w:r>
        <w:rPr>
          <w:rFonts w:ascii="Calibri" w:hAnsi="Calibri" w:cs="Calibri"/>
          <w:b/>
          <w:bCs/>
        </w:rPr>
        <w:t>Renting</w:t>
      </w:r>
    </w:p>
    <w:p w:rsidR="00A83B67" w:rsidRDefault="00A83B67">
      <w:pPr>
        <w:rPr>
          <w:rFonts w:ascii="Calibri" w:hAnsi="Calibri" w:cs="Calibri"/>
        </w:rPr>
      </w:pPr>
      <w:r>
        <w:rPr>
          <w:rFonts w:ascii="Calibri" w:hAnsi="Calibri" w:cs="Calibri"/>
        </w:rPr>
        <w:t>Table 4 shows the typical cost for renting privately and compares this with the typical rental cost of a new Housing Association property. The Government has recently taken steps to bring social housing rents closer to private sector ones, with rents for new tenants set at up to 80% of the amount you would have to pay in the private sector. Recent estimates by Cambridgeshire County Council suggest that the Local Housing Allowance would be sufficient to cover the cost of a one-bed property in Melbourn ward at the maximum affordable rent but not the cost of a two or three-bed property.</w:t>
      </w:r>
      <w:r>
        <w:rPr>
          <w:rStyle w:val="FootnoteReference"/>
          <w:rFonts w:ascii="Calibri" w:hAnsi="Calibri" w:cs="Calibri"/>
        </w:rPr>
        <w:footnoteReference w:id="6"/>
      </w:r>
    </w:p>
    <w:p w:rsidR="00A83B67" w:rsidRDefault="00A83B67">
      <w:pPr>
        <w:rPr>
          <w:rFonts w:ascii="Calibri" w:hAnsi="Calibri" w:cs="Calibri"/>
          <w:i/>
          <w:iCs/>
        </w:rPr>
      </w:pPr>
    </w:p>
    <w:p w:rsidR="00A83B67" w:rsidRDefault="00A83B67">
      <w:pPr>
        <w:rPr>
          <w:rFonts w:ascii="Calibri" w:hAnsi="Calibri" w:cs="Calibri"/>
          <w:i/>
          <w:iCs/>
        </w:rPr>
      </w:pPr>
      <w:r>
        <w:rPr>
          <w:rFonts w:ascii="Calibri" w:hAnsi="Calibri" w:cs="Calibri"/>
          <w:i/>
          <w:iCs/>
        </w:rPr>
        <w:br w:type="page"/>
      </w:r>
    </w:p>
    <w:p w:rsidR="00A83B67" w:rsidRDefault="00A83B67">
      <w:pPr>
        <w:rPr>
          <w:rFonts w:ascii="Calibri" w:hAnsi="Calibri" w:cs="Calibri"/>
          <w:i/>
          <w:iCs/>
        </w:rPr>
      </w:pPr>
      <w:r>
        <w:rPr>
          <w:rFonts w:ascii="Calibri" w:hAnsi="Calibri" w:cs="Calibri"/>
          <w:i/>
          <w:iCs/>
        </w:rPr>
        <w:t>Table 4: Comparison of property rental costs in Melbourn ward</w:t>
      </w:r>
      <w:r>
        <w:rPr>
          <w:rStyle w:val="FootnoteReference"/>
          <w:rFonts w:ascii="Calibri" w:hAnsi="Calibri" w:cs="Calibri"/>
        </w:rPr>
        <w:footnoteReference w:id="7"/>
      </w:r>
    </w:p>
    <w:p w:rsidR="00A83B67" w:rsidRDefault="00A83B67">
      <w:pPr>
        <w:rPr>
          <w:rFonts w:ascii="Calibri" w:hAnsi="Calibri" w:cs="Calibri"/>
        </w:rPr>
      </w:pPr>
    </w:p>
    <w:tbl>
      <w:tblPr>
        <w:tblW w:w="932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809"/>
        <w:gridCol w:w="3402"/>
        <w:gridCol w:w="4111"/>
      </w:tblGrid>
      <w:tr w:rsidR="00A83B67">
        <w:tc>
          <w:tcPr>
            <w:tcW w:w="1809" w:type="dxa"/>
            <w:shd w:val="clear" w:color="auto" w:fill="480B80"/>
          </w:tcPr>
          <w:p w:rsidR="00A83B67" w:rsidRDefault="00A83B67">
            <w:pPr>
              <w:spacing w:before="120" w:after="120"/>
              <w:rPr>
                <w:rFonts w:ascii="Calibri" w:hAnsi="Calibri" w:cs="Calibri"/>
                <w:caps/>
                <w:color w:val="FFFFFF"/>
              </w:rPr>
            </w:pPr>
            <w:r>
              <w:rPr>
                <w:rFonts w:ascii="Calibri" w:hAnsi="Calibri" w:cs="Calibri"/>
                <w:color w:val="FFFFFF"/>
              </w:rPr>
              <w:t>No. of Beds</w:t>
            </w:r>
          </w:p>
        </w:tc>
        <w:tc>
          <w:tcPr>
            <w:tcW w:w="3402" w:type="dxa"/>
            <w:shd w:val="clear" w:color="auto" w:fill="480B80"/>
          </w:tcPr>
          <w:p w:rsidR="00A83B67" w:rsidRDefault="00A83B67">
            <w:pPr>
              <w:spacing w:before="120" w:after="120"/>
              <w:jc w:val="center"/>
              <w:rPr>
                <w:rFonts w:ascii="Calibri" w:hAnsi="Calibri" w:cs="Calibri"/>
                <w:color w:val="FFFFFF"/>
              </w:rPr>
            </w:pPr>
            <w:r>
              <w:rPr>
                <w:rFonts w:ascii="Calibri" w:hAnsi="Calibri" w:cs="Calibri"/>
                <w:color w:val="FFFFFF"/>
              </w:rPr>
              <w:t>Private</w:t>
            </w:r>
          </w:p>
          <w:p w:rsidR="00A83B67" w:rsidRDefault="00A83B67">
            <w:pPr>
              <w:spacing w:before="120" w:after="120"/>
              <w:jc w:val="center"/>
              <w:rPr>
                <w:rFonts w:ascii="Calibri" w:hAnsi="Calibri" w:cs="Calibri"/>
                <w:color w:val="FFFFFF"/>
              </w:rPr>
            </w:pPr>
            <w:r>
              <w:rPr>
                <w:rFonts w:ascii="Calibri" w:hAnsi="Calibri" w:cs="Calibri"/>
                <w:color w:val="FFFFFF"/>
              </w:rPr>
              <w:t>Average rent per week</w:t>
            </w:r>
          </w:p>
        </w:tc>
        <w:tc>
          <w:tcPr>
            <w:tcW w:w="4111" w:type="dxa"/>
            <w:shd w:val="clear" w:color="auto" w:fill="480B80"/>
          </w:tcPr>
          <w:p w:rsidR="00A83B67" w:rsidRDefault="00A83B67">
            <w:pPr>
              <w:spacing w:before="120" w:after="120"/>
              <w:jc w:val="center"/>
              <w:rPr>
                <w:rFonts w:ascii="Calibri" w:hAnsi="Calibri" w:cs="Calibri"/>
                <w:color w:val="FFFFFF"/>
              </w:rPr>
            </w:pPr>
            <w:r>
              <w:rPr>
                <w:rFonts w:ascii="Calibri" w:hAnsi="Calibri" w:cs="Calibri"/>
                <w:color w:val="FFFFFF"/>
              </w:rPr>
              <w:t>Housing Association</w:t>
            </w:r>
          </w:p>
          <w:p w:rsidR="00A83B67" w:rsidRDefault="00A83B67">
            <w:pPr>
              <w:spacing w:before="120" w:after="120"/>
              <w:jc w:val="center"/>
              <w:rPr>
                <w:rFonts w:ascii="Calibri" w:hAnsi="Calibri" w:cs="Calibri"/>
                <w:color w:val="FFFFFF"/>
              </w:rPr>
            </w:pPr>
            <w:r>
              <w:rPr>
                <w:rFonts w:ascii="Calibri" w:hAnsi="Calibri" w:cs="Calibri"/>
                <w:color w:val="FFFFFF"/>
              </w:rPr>
              <w:t>Maximum affordable rent per week</w:t>
            </w:r>
          </w:p>
          <w:p w:rsidR="00A83B67" w:rsidRDefault="00A83B67">
            <w:pPr>
              <w:spacing w:before="120" w:after="120"/>
              <w:jc w:val="center"/>
              <w:rPr>
                <w:rFonts w:ascii="Calibri" w:hAnsi="Calibri" w:cs="Calibri"/>
                <w:color w:val="FFFFFF"/>
              </w:rPr>
            </w:pPr>
            <w:r>
              <w:rPr>
                <w:rFonts w:ascii="Calibri" w:hAnsi="Calibri" w:cs="Calibri"/>
                <w:color w:val="FFFFFF"/>
              </w:rPr>
              <w:t>(80% of median market rent)</w:t>
            </w:r>
          </w:p>
        </w:tc>
      </w:tr>
      <w:tr w:rsidR="00A83B67">
        <w:tc>
          <w:tcPr>
            <w:tcW w:w="1809" w:type="dxa"/>
          </w:tcPr>
          <w:p w:rsidR="00A83B67" w:rsidRDefault="00A83B67">
            <w:pPr>
              <w:spacing w:before="120" w:after="120"/>
              <w:rPr>
                <w:rFonts w:ascii="Calibri" w:hAnsi="Calibri" w:cs="Calibri"/>
                <w:caps/>
              </w:rPr>
            </w:pPr>
            <w:r>
              <w:rPr>
                <w:rFonts w:ascii="Calibri" w:hAnsi="Calibri" w:cs="Calibri"/>
              </w:rPr>
              <w:t>1 (or bedsit)</w:t>
            </w:r>
          </w:p>
        </w:tc>
        <w:tc>
          <w:tcPr>
            <w:tcW w:w="3402" w:type="dxa"/>
          </w:tcPr>
          <w:p w:rsidR="00A83B67" w:rsidRDefault="00A83B67">
            <w:pPr>
              <w:spacing w:before="120" w:after="120"/>
              <w:jc w:val="center"/>
              <w:rPr>
                <w:rFonts w:ascii="Calibri" w:hAnsi="Calibri" w:cs="Calibri"/>
                <w:caps/>
              </w:rPr>
            </w:pPr>
            <w:r>
              <w:rPr>
                <w:rFonts w:ascii="Calibri" w:hAnsi="Calibri" w:cs="Calibri"/>
                <w:caps/>
              </w:rPr>
              <w:t>£125 - £149</w:t>
            </w:r>
          </w:p>
        </w:tc>
        <w:tc>
          <w:tcPr>
            <w:tcW w:w="4111" w:type="dxa"/>
          </w:tcPr>
          <w:p w:rsidR="00A83B67" w:rsidRDefault="00A83B67">
            <w:pPr>
              <w:spacing w:before="120" w:after="120"/>
              <w:jc w:val="center"/>
              <w:rPr>
                <w:rFonts w:ascii="Calibri" w:hAnsi="Calibri" w:cs="Calibri"/>
              </w:rPr>
            </w:pPr>
            <w:r>
              <w:rPr>
                <w:rFonts w:ascii="Calibri" w:hAnsi="Calibri" w:cs="Calibri"/>
              </w:rPr>
              <w:t>£100 - £124</w:t>
            </w:r>
          </w:p>
        </w:tc>
      </w:tr>
      <w:tr w:rsidR="00A83B67">
        <w:tc>
          <w:tcPr>
            <w:tcW w:w="1809" w:type="dxa"/>
          </w:tcPr>
          <w:p w:rsidR="00A83B67" w:rsidRDefault="00A83B67">
            <w:pPr>
              <w:spacing w:before="120" w:after="120"/>
              <w:rPr>
                <w:rFonts w:ascii="Calibri" w:hAnsi="Calibri" w:cs="Calibri"/>
                <w:caps/>
              </w:rPr>
            </w:pPr>
            <w:r>
              <w:rPr>
                <w:rFonts w:ascii="Calibri" w:hAnsi="Calibri" w:cs="Calibri"/>
                <w:caps/>
              </w:rPr>
              <w:t>2</w:t>
            </w:r>
          </w:p>
        </w:tc>
        <w:tc>
          <w:tcPr>
            <w:tcW w:w="3402" w:type="dxa"/>
          </w:tcPr>
          <w:p w:rsidR="00A83B67" w:rsidRDefault="00A83B67">
            <w:pPr>
              <w:spacing w:before="120" w:after="120"/>
              <w:jc w:val="center"/>
              <w:rPr>
                <w:rFonts w:ascii="Calibri" w:hAnsi="Calibri" w:cs="Calibri"/>
                <w:caps/>
              </w:rPr>
            </w:pPr>
            <w:r>
              <w:rPr>
                <w:rFonts w:ascii="Calibri" w:hAnsi="Calibri" w:cs="Calibri"/>
                <w:caps/>
              </w:rPr>
              <w:t>£150 - £174</w:t>
            </w:r>
          </w:p>
        </w:tc>
        <w:tc>
          <w:tcPr>
            <w:tcW w:w="4111" w:type="dxa"/>
          </w:tcPr>
          <w:p w:rsidR="00A83B67" w:rsidRDefault="00A83B67">
            <w:pPr>
              <w:spacing w:before="120" w:after="120"/>
              <w:jc w:val="center"/>
              <w:rPr>
                <w:rFonts w:ascii="Calibri" w:hAnsi="Calibri" w:cs="Calibri"/>
              </w:rPr>
            </w:pPr>
            <w:r>
              <w:rPr>
                <w:rFonts w:ascii="Calibri" w:hAnsi="Calibri" w:cs="Calibri"/>
              </w:rPr>
              <w:t>£125 - £149</w:t>
            </w:r>
          </w:p>
        </w:tc>
      </w:tr>
      <w:tr w:rsidR="00A83B67">
        <w:tc>
          <w:tcPr>
            <w:tcW w:w="1809" w:type="dxa"/>
          </w:tcPr>
          <w:p w:rsidR="00A83B67" w:rsidRDefault="00A83B67">
            <w:pPr>
              <w:spacing w:before="120" w:after="120"/>
              <w:rPr>
                <w:rFonts w:ascii="Calibri" w:hAnsi="Calibri" w:cs="Calibri"/>
                <w:caps/>
              </w:rPr>
            </w:pPr>
            <w:r>
              <w:rPr>
                <w:rFonts w:ascii="Calibri" w:hAnsi="Calibri" w:cs="Calibri"/>
                <w:caps/>
              </w:rPr>
              <w:t>3</w:t>
            </w:r>
          </w:p>
        </w:tc>
        <w:tc>
          <w:tcPr>
            <w:tcW w:w="3402" w:type="dxa"/>
          </w:tcPr>
          <w:p w:rsidR="00A83B67" w:rsidRDefault="00A83B67">
            <w:pPr>
              <w:spacing w:before="120" w:after="120"/>
              <w:jc w:val="center"/>
              <w:rPr>
                <w:rFonts w:ascii="Calibri" w:hAnsi="Calibri" w:cs="Calibri"/>
                <w:caps/>
              </w:rPr>
            </w:pPr>
            <w:r>
              <w:rPr>
                <w:rFonts w:ascii="Calibri" w:hAnsi="Calibri" w:cs="Calibri"/>
                <w:caps/>
              </w:rPr>
              <w:t>£175 - £199</w:t>
            </w:r>
          </w:p>
        </w:tc>
        <w:tc>
          <w:tcPr>
            <w:tcW w:w="4111" w:type="dxa"/>
          </w:tcPr>
          <w:p w:rsidR="00A83B67" w:rsidRDefault="00A83B67">
            <w:pPr>
              <w:spacing w:before="120" w:after="120"/>
              <w:jc w:val="center"/>
              <w:rPr>
                <w:rFonts w:ascii="Calibri" w:hAnsi="Calibri" w:cs="Calibri"/>
              </w:rPr>
            </w:pPr>
            <w:r>
              <w:rPr>
                <w:rFonts w:ascii="Calibri" w:hAnsi="Calibri" w:cs="Calibri"/>
              </w:rPr>
              <w:t>£150 - £199</w:t>
            </w:r>
          </w:p>
        </w:tc>
      </w:tr>
    </w:tbl>
    <w:p w:rsidR="00A83B67" w:rsidRDefault="00A83B67">
      <w:pPr>
        <w:pStyle w:val="BodyText"/>
        <w:rPr>
          <w:rFonts w:ascii="Calibri" w:hAnsi="Calibri" w:cs="Calibri"/>
          <w:sz w:val="24"/>
          <w:szCs w:val="24"/>
        </w:rPr>
      </w:pPr>
      <w:r>
        <w:rPr>
          <w:rFonts w:ascii="Calibri" w:hAnsi="Calibri" w:cs="Calibri"/>
          <w:b/>
          <w:bCs/>
          <w:sz w:val="28"/>
          <w:szCs w:val="28"/>
        </w:rPr>
        <w:br w:type="page"/>
        <w:t>RESULTS FROM PART ONE – VIEWS ON AFFORDABLE HOUSING DEVELOPMENT AND IDENTIFYING THOSE IN HOUSING NEED</w:t>
      </w:r>
    </w:p>
    <w:p w:rsidR="00A83B67" w:rsidRDefault="00A83B67">
      <w:pPr>
        <w:rPr>
          <w:rFonts w:ascii="Calibri" w:hAnsi="Calibri" w:cs="Calibri"/>
          <w:b/>
          <w:bCs/>
        </w:rPr>
      </w:pPr>
    </w:p>
    <w:p w:rsidR="00A83B67" w:rsidRDefault="00A83B67">
      <w:pPr>
        <w:rPr>
          <w:rFonts w:ascii="Calibri" w:hAnsi="Calibri" w:cs="Calibri"/>
          <w:b/>
          <w:bCs/>
          <w:color w:val="480B80"/>
          <w:sz w:val="28"/>
          <w:szCs w:val="28"/>
        </w:rPr>
      </w:pPr>
      <w:r>
        <w:rPr>
          <w:rFonts w:ascii="Calibri" w:hAnsi="Calibri" w:cs="Calibri"/>
          <w:b/>
          <w:bCs/>
          <w:color w:val="480B80"/>
          <w:sz w:val="28"/>
          <w:szCs w:val="28"/>
        </w:rPr>
        <w:t>Views on Affordable Housing Development in Melbourn</w:t>
      </w:r>
    </w:p>
    <w:p w:rsidR="00A83B67" w:rsidRDefault="00A83B67">
      <w:pPr>
        <w:pStyle w:val="BodyText"/>
        <w:rPr>
          <w:rFonts w:ascii="Calibri" w:hAnsi="Calibri" w:cs="Calibri"/>
          <w:b/>
          <w:bCs/>
          <w:sz w:val="24"/>
          <w:szCs w:val="24"/>
          <w:u w:val="single"/>
        </w:rPr>
      </w:pPr>
    </w:p>
    <w:p w:rsidR="00A83B67" w:rsidRDefault="00A83B67">
      <w:pPr>
        <w:pStyle w:val="BodyText"/>
        <w:rPr>
          <w:rFonts w:ascii="Calibri" w:hAnsi="Calibri" w:cs="Calibri"/>
          <w:sz w:val="24"/>
          <w:szCs w:val="24"/>
        </w:rPr>
      </w:pPr>
      <w:r>
        <w:rPr>
          <w:rFonts w:ascii="Calibri" w:hAnsi="Calibri" w:cs="Calibri"/>
          <w:sz w:val="24"/>
          <w:szCs w:val="24"/>
        </w:rPr>
        <w:t>All respondents were given an opportunity to voice their opinion on the possibility of a small development of affordable homes for local people within the parish. 77% of respondents said they would be in favour; 16% stated that they would not be in favour; and 7% chose not to state their opinion. This is illustrated in Figure 1.</w:t>
      </w:r>
      <w:r>
        <w:rPr>
          <w:rStyle w:val="FootnoteReference"/>
          <w:rFonts w:ascii="Calibri" w:hAnsi="Calibri" w:cs="Calibri"/>
          <w:sz w:val="24"/>
          <w:szCs w:val="24"/>
        </w:rPr>
        <w:footnoteReference w:id="8"/>
      </w:r>
    </w:p>
    <w:p w:rsidR="00A83B67" w:rsidRDefault="00A83B67">
      <w:pPr>
        <w:pStyle w:val="BodyText"/>
        <w:rPr>
          <w:rFonts w:ascii="Calibri" w:hAnsi="Calibri" w:cs="Calibri"/>
          <w:sz w:val="24"/>
          <w:szCs w:val="24"/>
        </w:rPr>
      </w:pPr>
    </w:p>
    <w:p w:rsidR="00A83B67" w:rsidRDefault="00A83B67">
      <w:pPr>
        <w:pStyle w:val="Heading4"/>
        <w:rPr>
          <w:rFonts w:ascii="Calibri" w:hAnsi="Calibri" w:cs="Calibri"/>
          <w:sz w:val="24"/>
          <w:szCs w:val="24"/>
          <w:u w:val="none"/>
        </w:rPr>
      </w:pPr>
      <w:r>
        <w:rPr>
          <w:rFonts w:ascii="Calibri" w:hAnsi="Calibri" w:cs="Calibri"/>
          <w:sz w:val="24"/>
          <w:szCs w:val="24"/>
          <w:u w:val="none"/>
        </w:rPr>
        <w:t>Figure 1: Attitude towards affordable housing development</w:t>
      </w:r>
    </w:p>
    <w:p w:rsidR="00A83B67" w:rsidRDefault="00A83B67">
      <w:pPr>
        <w:rPr>
          <w:rFonts w:cs="Times New Roman"/>
        </w:rPr>
      </w:pPr>
    </w:p>
    <w:p w:rsidR="00A83B67" w:rsidRDefault="00A83B67">
      <w:pPr>
        <w:jc w:val="center"/>
        <w:rPr>
          <w:rFonts w:cs="Times New Roman"/>
        </w:rPr>
      </w:pPr>
      <w:r>
        <w:rPr>
          <w:rFonts w:cs="Times New Roman"/>
          <w:noProof/>
          <w:lang w:eastAsia="en-GB"/>
        </w:rPr>
        <w:pict>
          <v:shape id="Chart 1" o:spid="_x0000_i1026" type="#_x0000_t75" style="width:405.75pt;height:237.75pt;visibility:visible">
            <v:imagedata r:id="rId10" o:title=""/>
            <o:lock v:ext="edit" aspectratio="f"/>
          </v:shape>
        </w:pict>
      </w:r>
    </w:p>
    <w:p w:rsidR="00A83B67" w:rsidRDefault="00A83B67">
      <w:pPr>
        <w:rPr>
          <w:rFonts w:ascii="Calibri" w:hAnsi="Calibri" w:cs="Calibri"/>
        </w:rPr>
      </w:pP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Respondents were also asked how they felt about the possibility of a small development that included both private housing and affordable homes so that the sale of the private homes could finance the affordable homes development. Here, the numbers fell somewhat with only 63% being in favour of this idea, 26% being against it and 11% not stating an opinion.</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Many respondents chose to include additional comments to qualify their answers. A selection is presented here, grouped by theme.</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Much support for affordable homes centred on the needs of young and elderly people:</w:t>
      </w:r>
    </w:p>
    <w:p w:rsidR="00A83B67" w:rsidRDefault="00A83B67">
      <w:pPr>
        <w:pStyle w:val="ListParagraph"/>
        <w:numPr>
          <w:ilvl w:val="0"/>
          <w:numId w:val="30"/>
        </w:numPr>
        <w:rPr>
          <w:rFonts w:ascii="Calibri" w:hAnsi="Calibri" w:cs="Calibri"/>
          <w:i/>
          <w:iCs/>
          <w:lang w:val="en-US"/>
        </w:rPr>
      </w:pPr>
      <w:r>
        <w:rPr>
          <w:rFonts w:ascii="Calibri" w:hAnsi="Calibri" w:cs="Calibri"/>
          <w:i/>
          <w:iCs/>
          <w:lang w:val="en-US"/>
        </w:rPr>
        <w:t>I have two sons aged 24, who desperately want their own homes with their partners</w:t>
      </w:r>
    </w:p>
    <w:p w:rsidR="00A83B67" w:rsidRDefault="00A83B67">
      <w:pPr>
        <w:pStyle w:val="ListParagraph"/>
        <w:numPr>
          <w:ilvl w:val="0"/>
          <w:numId w:val="30"/>
        </w:numPr>
        <w:rPr>
          <w:rFonts w:ascii="Calibri" w:hAnsi="Calibri" w:cs="Calibri"/>
          <w:i/>
          <w:iCs/>
          <w:lang w:val="en-US"/>
        </w:rPr>
      </w:pPr>
      <w:r>
        <w:rPr>
          <w:rFonts w:ascii="Calibri" w:hAnsi="Calibri" w:cs="Calibri"/>
          <w:i/>
          <w:iCs/>
          <w:lang w:val="en-US"/>
        </w:rPr>
        <w:t>My daughter has just moved back to Cambridgeshire and cannot find a house in Melbourn suitable for her needs</w:t>
      </w:r>
    </w:p>
    <w:p w:rsidR="00A83B67" w:rsidRDefault="00A83B67">
      <w:pPr>
        <w:pStyle w:val="ListParagraph"/>
        <w:numPr>
          <w:ilvl w:val="0"/>
          <w:numId w:val="30"/>
        </w:numPr>
        <w:rPr>
          <w:rFonts w:ascii="Calibri" w:hAnsi="Calibri" w:cs="Calibri"/>
          <w:i/>
          <w:iCs/>
        </w:rPr>
      </w:pPr>
      <w:r>
        <w:rPr>
          <w:rFonts w:ascii="Calibri" w:hAnsi="Calibri" w:cs="Calibri"/>
          <w:i/>
          <w:iCs/>
        </w:rPr>
        <w:t>Young professionals are in definite need and if encouraged to stay will be a valuable asset to community in future</w:t>
      </w:r>
    </w:p>
    <w:p w:rsidR="00A83B67" w:rsidRDefault="00A83B67">
      <w:pPr>
        <w:pStyle w:val="ListParagraph"/>
        <w:numPr>
          <w:ilvl w:val="0"/>
          <w:numId w:val="30"/>
        </w:numPr>
        <w:rPr>
          <w:rFonts w:ascii="Calibri" w:hAnsi="Calibri" w:cs="Calibri"/>
          <w:i/>
          <w:iCs/>
        </w:rPr>
      </w:pPr>
      <w:r>
        <w:rPr>
          <w:rFonts w:ascii="Calibri" w:hAnsi="Calibri" w:cs="Calibri"/>
          <w:i/>
          <w:iCs/>
        </w:rPr>
        <w:t>Young people nowadays need more affordable housing as it is very hard for them when starting out in life. Affordable housing also means families can stay closer in the village</w:t>
      </w:r>
    </w:p>
    <w:p w:rsidR="00A83B67" w:rsidRDefault="00A83B67">
      <w:pPr>
        <w:pStyle w:val="ListParagraph"/>
        <w:numPr>
          <w:ilvl w:val="0"/>
          <w:numId w:val="30"/>
        </w:numPr>
        <w:rPr>
          <w:rFonts w:ascii="Calibri" w:hAnsi="Calibri" w:cs="Calibri"/>
          <w:i/>
          <w:iCs/>
        </w:rPr>
      </w:pPr>
      <w:r>
        <w:rPr>
          <w:rFonts w:ascii="Calibri" w:hAnsi="Calibri" w:cs="Calibri"/>
          <w:i/>
          <w:iCs/>
        </w:rPr>
        <w:t>Need some more retirement flats as there are many older people in Melbourn who will need suitable housing in the future</w:t>
      </w:r>
    </w:p>
    <w:p w:rsidR="00A83B67" w:rsidRDefault="00A83B67">
      <w:pPr>
        <w:pStyle w:val="ListParagraph"/>
        <w:numPr>
          <w:ilvl w:val="0"/>
          <w:numId w:val="30"/>
        </w:numPr>
        <w:rPr>
          <w:rFonts w:ascii="Calibri" w:hAnsi="Calibri" w:cs="Calibri"/>
          <w:i/>
          <w:iCs/>
        </w:rPr>
      </w:pPr>
      <w:r>
        <w:rPr>
          <w:rFonts w:ascii="Calibri" w:hAnsi="Calibri" w:cs="Calibri"/>
          <w:i/>
          <w:iCs/>
        </w:rPr>
        <w:t>Should include provision for the elderley (adapted property)</w:t>
      </w:r>
    </w:p>
    <w:p w:rsidR="00A83B67" w:rsidRDefault="00A83B67">
      <w:pPr>
        <w:pStyle w:val="ListParagraph"/>
        <w:numPr>
          <w:ilvl w:val="0"/>
          <w:numId w:val="30"/>
        </w:numPr>
        <w:rPr>
          <w:rFonts w:ascii="Calibri" w:hAnsi="Calibri" w:cs="Calibri"/>
          <w:i/>
          <w:iCs/>
          <w:lang w:val="en-US"/>
        </w:rPr>
      </w:pPr>
      <w:r>
        <w:rPr>
          <w:rFonts w:ascii="Calibri" w:hAnsi="Calibri" w:cs="Calibri"/>
          <w:i/>
          <w:iCs/>
          <w:lang w:val="en-US"/>
        </w:rPr>
        <w:t>I personally would be interested in buying an affordable home in this local area. I have lived in Melbourn for 29 years. I work in Melbourn and my immediate family all live in Melbourn. I would like to purchase a property in this area but cannot obtain a mortgage (at present) to do so. Affordable homes for local people will be an ideal solution!!!</w:t>
      </w:r>
    </w:p>
    <w:p w:rsidR="00A83B67" w:rsidRDefault="00A83B67">
      <w:pPr>
        <w:pStyle w:val="ListParagraph"/>
        <w:numPr>
          <w:ilvl w:val="0"/>
          <w:numId w:val="30"/>
        </w:numPr>
        <w:rPr>
          <w:rFonts w:ascii="Calibri" w:hAnsi="Calibri" w:cs="Calibri"/>
          <w:i/>
          <w:iCs/>
        </w:rPr>
      </w:pPr>
      <w:r>
        <w:rPr>
          <w:rFonts w:ascii="Calibri" w:hAnsi="Calibri" w:cs="Calibri"/>
          <w:i/>
          <w:iCs/>
        </w:rPr>
        <w:t>Affordable housing is a "must" in the village. This is a very expensive area in which to live, and salaries are very low for the majority of people</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A key concern for some was that affordable housing should be allocated to local people:</w:t>
      </w:r>
    </w:p>
    <w:p w:rsidR="00A83B67" w:rsidRDefault="00A83B67">
      <w:pPr>
        <w:pStyle w:val="ListParagraph"/>
        <w:numPr>
          <w:ilvl w:val="0"/>
          <w:numId w:val="35"/>
        </w:numPr>
        <w:rPr>
          <w:rFonts w:ascii="Calibri" w:hAnsi="Calibri" w:cs="Calibri"/>
          <w:i/>
          <w:iCs/>
        </w:rPr>
      </w:pPr>
      <w:r>
        <w:rPr>
          <w:rFonts w:ascii="Calibri" w:hAnsi="Calibri" w:cs="Calibri"/>
          <w:i/>
          <w:iCs/>
        </w:rPr>
        <w:t>So long as it is for local people</w:t>
      </w:r>
    </w:p>
    <w:p w:rsidR="00A83B67" w:rsidRDefault="00A83B67">
      <w:pPr>
        <w:pStyle w:val="ListParagraph"/>
        <w:numPr>
          <w:ilvl w:val="0"/>
          <w:numId w:val="35"/>
        </w:numPr>
        <w:rPr>
          <w:rFonts w:ascii="Calibri" w:hAnsi="Calibri" w:cs="Calibri"/>
          <w:i/>
          <w:iCs/>
        </w:rPr>
      </w:pPr>
      <w:r>
        <w:rPr>
          <w:rFonts w:ascii="Calibri" w:hAnsi="Calibri" w:cs="Calibri"/>
          <w:i/>
          <w:iCs/>
        </w:rPr>
        <w:t>Local homes should mean for the village people</w:t>
      </w:r>
    </w:p>
    <w:p w:rsidR="00A83B67" w:rsidRDefault="00A83B67">
      <w:pPr>
        <w:pStyle w:val="ListParagraph"/>
        <w:numPr>
          <w:ilvl w:val="0"/>
          <w:numId w:val="35"/>
        </w:numPr>
        <w:rPr>
          <w:rFonts w:ascii="Calibri" w:hAnsi="Calibri" w:cs="Calibri"/>
          <w:i/>
          <w:iCs/>
        </w:rPr>
      </w:pPr>
      <w:r>
        <w:rPr>
          <w:rFonts w:ascii="Calibri" w:hAnsi="Calibri" w:cs="Calibri"/>
          <w:i/>
          <w:iCs/>
        </w:rPr>
        <w:t>Any development of this nature should be strictly for the young families and residents of Melbourn</w:t>
      </w:r>
    </w:p>
    <w:p w:rsidR="00A83B67" w:rsidRDefault="00A83B67">
      <w:pPr>
        <w:pStyle w:val="ListParagraph"/>
        <w:numPr>
          <w:ilvl w:val="0"/>
          <w:numId w:val="35"/>
        </w:numPr>
        <w:rPr>
          <w:rFonts w:ascii="Calibri" w:hAnsi="Calibri" w:cs="Calibri"/>
          <w:i/>
          <w:iCs/>
        </w:rPr>
      </w:pPr>
      <w:r>
        <w:rPr>
          <w:rFonts w:ascii="Calibri" w:hAnsi="Calibri" w:cs="Calibri"/>
          <w:i/>
          <w:iCs/>
        </w:rPr>
        <w:t>Provided the homes remained as affordable and were not covered by 'right to buy'</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Many respondents caveated their support for affordable housing with concerns about the location, scale and design of any development:</w:t>
      </w:r>
    </w:p>
    <w:p w:rsidR="00A83B67" w:rsidRDefault="00A83B67">
      <w:pPr>
        <w:pStyle w:val="ListParagraph"/>
        <w:numPr>
          <w:ilvl w:val="0"/>
          <w:numId w:val="32"/>
        </w:numPr>
        <w:rPr>
          <w:rFonts w:ascii="Calibri" w:hAnsi="Calibri" w:cs="Calibri"/>
          <w:i/>
          <w:iCs/>
        </w:rPr>
      </w:pPr>
      <w:r>
        <w:rPr>
          <w:rFonts w:ascii="Calibri" w:hAnsi="Calibri" w:cs="Calibri"/>
          <w:i/>
          <w:iCs/>
        </w:rPr>
        <w:t>Melbourn is a large village and great care would have to be taken on the choice of site. I cannot think of a suitable area. A brownfield site would be preferable to a green field</w:t>
      </w:r>
    </w:p>
    <w:p w:rsidR="00A83B67" w:rsidRDefault="00A83B67">
      <w:pPr>
        <w:pStyle w:val="ListParagraph"/>
        <w:numPr>
          <w:ilvl w:val="0"/>
          <w:numId w:val="32"/>
        </w:numPr>
        <w:rPr>
          <w:rFonts w:ascii="Calibri" w:hAnsi="Calibri" w:cs="Calibri"/>
          <w:i/>
          <w:iCs/>
        </w:rPr>
      </w:pPr>
      <w:r>
        <w:rPr>
          <w:rFonts w:ascii="Calibri" w:hAnsi="Calibri" w:cs="Calibri"/>
          <w:i/>
          <w:iCs/>
        </w:rPr>
        <w:t>I am in favour if the development does not expand the current village envelope</w:t>
      </w:r>
    </w:p>
    <w:p w:rsidR="00A83B67" w:rsidRDefault="00A83B67">
      <w:pPr>
        <w:pStyle w:val="ListParagraph"/>
        <w:numPr>
          <w:ilvl w:val="0"/>
          <w:numId w:val="32"/>
        </w:numPr>
        <w:rPr>
          <w:rFonts w:ascii="Calibri" w:hAnsi="Calibri" w:cs="Calibri"/>
          <w:i/>
          <w:iCs/>
        </w:rPr>
      </w:pPr>
      <w:r>
        <w:rPr>
          <w:rFonts w:ascii="Calibri" w:hAnsi="Calibri" w:cs="Calibri"/>
          <w:i/>
          <w:iCs/>
          <w:lang w:val="en-US"/>
        </w:rPr>
        <w:t>Depending on where they are situated in the village and on your version of small</w:t>
      </w:r>
    </w:p>
    <w:p w:rsidR="00A83B67" w:rsidRDefault="00A83B67">
      <w:pPr>
        <w:pStyle w:val="ListParagraph"/>
        <w:numPr>
          <w:ilvl w:val="0"/>
          <w:numId w:val="32"/>
        </w:numPr>
        <w:rPr>
          <w:rFonts w:ascii="Calibri" w:hAnsi="Calibri" w:cs="Calibri"/>
          <w:i/>
          <w:iCs/>
          <w:lang w:val="en-US"/>
        </w:rPr>
      </w:pPr>
      <w:r>
        <w:rPr>
          <w:rFonts w:ascii="Calibri" w:hAnsi="Calibri" w:cs="Calibri"/>
          <w:i/>
          <w:iCs/>
          <w:lang w:val="en-US"/>
        </w:rPr>
        <w:t>This would need to be a very small development as I feel the village has about reached its expansion limits</w:t>
      </w:r>
    </w:p>
    <w:p w:rsidR="00A83B67" w:rsidRDefault="00A83B67">
      <w:pPr>
        <w:pStyle w:val="ListParagraph"/>
        <w:numPr>
          <w:ilvl w:val="0"/>
          <w:numId w:val="32"/>
        </w:numPr>
        <w:rPr>
          <w:rFonts w:ascii="Calibri" w:hAnsi="Calibri" w:cs="Calibri"/>
          <w:i/>
          <w:iCs/>
        </w:rPr>
      </w:pPr>
      <w:r>
        <w:rPr>
          <w:rFonts w:ascii="Calibri" w:hAnsi="Calibri" w:cs="Calibri"/>
          <w:i/>
          <w:iCs/>
        </w:rPr>
        <w:t>Yes, if this does not change the village too much. Must stay a village - not become a small town</w:t>
      </w:r>
    </w:p>
    <w:p w:rsidR="00A83B67" w:rsidRDefault="00A83B67">
      <w:pPr>
        <w:pStyle w:val="ListParagraph"/>
        <w:numPr>
          <w:ilvl w:val="0"/>
          <w:numId w:val="32"/>
        </w:numPr>
        <w:rPr>
          <w:rFonts w:ascii="Calibri" w:hAnsi="Calibri" w:cs="Calibri"/>
          <w:i/>
          <w:iCs/>
        </w:rPr>
      </w:pPr>
      <w:r>
        <w:rPr>
          <w:rFonts w:ascii="Calibri" w:hAnsi="Calibri" w:cs="Calibri"/>
          <w:i/>
          <w:iCs/>
        </w:rPr>
        <w:t>Shouldn't be architecturely bland like almost every development in the village over the past 30 years</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There were also concerns about the ability of Melbourn’s infrastructure to cope with further development:</w:t>
      </w:r>
    </w:p>
    <w:p w:rsidR="00A83B67" w:rsidRDefault="00A83B67">
      <w:pPr>
        <w:pStyle w:val="ListParagraph"/>
        <w:numPr>
          <w:ilvl w:val="0"/>
          <w:numId w:val="33"/>
        </w:numPr>
        <w:rPr>
          <w:rFonts w:ascii="Calibri" w:hAnsi="Calibri" w:cs="Calibri"/>
          <w:i/>
          <w:iCs/>
        </w:rPr>
      </w:pPr>
      <w:r>
        <w:rPr>
          <w:rFonts w:ascii="Calibri" w:hAnsi="Calibri" w:cs="Calibri"/>
          <w:i/>
          <w:iCs/>
        </w:rPr>
        <w:t>Yes, but housing developments need to consider the needs of those who live there e.g. Off street parking as parked cars are a huge hazard in Melbourn, school spaces etc</w:t>
      </w:r>
    </w:p>
    <w:p w:rsidR="00A83B67" w:rsidRDefault="00A83B67">
      <w:pPr>
        <w:pStyle w:val="ListParagraph"/>
        <w:numPr>
          <w:ilvl w:val="0"/>
          <w:numId w:val="33"/>
        </w:numPr>
        <w:rPr>
          <w:rFonts w:ascii="Calibri" w:hAnsi="Calibri" w:cs="Calibri"/>
          <w:i/>
          <w:iCs/>
        </w:rPr>
      </w:pPr>
      <w:r>
        <w:rPr>
          <w:rFonts w:ascii="Calibri" w:hAnsi="Calibri" w:cs="Calibri"/>
          <w:i/>
          <w:iCs/>
        </w:rPr>
        <w:t>Not enough support for more housing in this area i.e. Schools, doctors, dentist, youth facilities etc</w:t>
      </w:r>
    </w:p>
    <w:p w:rsidR="00A83B67" w:rsidRDefault="00A83B67">
      <w:pPr>
        <w:pStyle w:val="ListParagraph"/>
        <w:numPr>
          <w:ilvl w:val="0"/>
          <w:numId w:val="33"/>
        </w:numPr>
        <w:rPr>
          <w:rFonts w:ascii="Calibri" w:hAnsi="Calibri" w:cs="Calibri"/>
          <w:i/>
          <w:iCs/>
        </w:rPr>
      </w:pPr>
      <w:r>
        <w:rPr>
          <w:rFonts w:ascii="Calibri" w:hAnsi="Calibri" w:cs="Calibri"/>
          <w:i/>
          <w:iCs/>
        </w:rPr>
        <w:t>Melbourn is already a large village. The school is already struggling to cope with too many children. More cars in the village means more congestion and there is already a problem</w:t>
      </w:r>
    </w:p>
    <w:p w:rsidR="00A83B67" w:rsidRDefault="00A83B67">
      <w:pPr>
        <w:rPr>
          <w:rFonts w:ascii="Calibri" w:hAnsi="Calibri" w:cs="Calibri"/>
          <w:b/>
          <w:bCs/>
        </w:rPr>
      </w:pPr>
    </w:p>
    <w:p w:rsidR="00A83B67" w:rsidRDefault="00A83B67">
      <w:pPr>
        <w:rPr>
          <w:rFonts w:ascii="Calibri" w:hAnsi="Calibri" w:cs="Calibri"/>
        </w:rPr>
      </w:pPr>
      <w:r>
        <w:rPr>
          <w:rFonts w:ascii="Calibri" w:hAnsi="Calibri" w:cs="Calibri"/>
        </w:rPr>
        <w:t>In fact, lack of infrastructure was one of the key reasons for some people being opposed to further affordable housing development in principle:</w:t>
      </w:r>
    </w:p>
    <w:p w:rsidR="00A83B67" w:rsidRDefault="00A83B67">
      <w:pPr>
        <w:pStyle w:val="ListParagraph"/>
        <w:numPr>
          <w:ilvl w:val="0"/>
          <w:numId w:val="34"/>
        </w:numPr>
        <w:rPr>
          <w:rFonts w:ascii="Calibri" w:hAnsi="Calibri" w:cs="Calibri"/>
          <w:i/>
          <w:iCs/>
        </w:rPr>
      </w:pPr>
      <w:r>
        <w:rPr>
          <w:rFonts w:ascii="Calibri" w:hAnsi="Calibri" w:cs="Calibri"/>
          <w:i/>
          <w:iCs/>
        </w:rPr>
        <w:t>Village is already "overgrown"</w:t>
      </w:r>
    </w:p>
    <w:p w:rsidR="00A83B67" w:rsidRDefault="00A83B67">
      <w:pPr>
        <w:pStyle w:val="ListParagraph"/>
        <w:numPr>
          <w:ilvl w:val="0"/>
          <w:numId w:val="34"/>
        </w:numPr>
        <w:rPr>
          <w:rFonts w:ascii="Calibri" w:hAnsi="Calibri" w:cs="Calibri"/>
          <w:i/>
          <w:iCs/>
        </w:rPr>
      </w:pPr>
      <w:r>
        <w:rPr>
          <w:rFonts w:ascii="Calibri" w:hAnsi="Calibri" w:cs="Calibri"/>
          <w:i/>
          <w:iCs/>
        </w:rPr>
        <w:t>We believe Melbourn has already outgrown it's own resources and could not effectively support any further development</w:t>
      </w:r>
    </w:p>
    <w:p w:rsidR="00A83B67" w:rsidRDefault="00A83B67">
      <w:pPr>
        <w:pStyle w:val="ListParagraph"/>
        <w:numPr>
          <w:ilvl w:val="0"/>
          <w:numId w:val="34"/>
        </w:numPr>
        <w:rPr>
          <w:rFonts w:ascii="Calibri" w:hAnsi="Calibri" w:cs="Calibri"/>
          <w:i/>
          <w:iCs/>
        </w:rPr>
      </w:pPr>
      <w:r>
        <w:rPr>
          <w:rFonts w:ascii="Calibri" w:hAnsi="Calibri" w:cs="Calibri"/>
          <w:i/>
          <w:iCs/>
        </w:rPr>
        <w:t>I do not believe that the existing social infrastructure can support an increase in population</w:t>
      </w:r>
    </w:p>
    <w:p w:rsidR="00A83B67" w:rsidRDefault="00A83B67">
      <w:pPr>
        <w:pStyle w:val="ListParagraph"/>
        <w:numPr>
          <w:ilvl w:val="0"/>
          <w:numId w:val="34"/>
        </w:numPr>
        <w:rPr>
          <w:rFonts w:ascii="Calibri" w:hAnsi="Calibri" w:cs="Calibri"/>
          <w:i/>
          <w:iCs/>
        </w:rPr>
      </w:pPr>
      <w:r>
        <w:rPr>
          <w:rFonts w:ascii="Calibri" w:hAnsi="Calibri" w:cs="Calibri"/>
          <w:i/>
          <w:iCs/>
        </w:rPr>
        <w:t>Too many homes being built now. Spoiling the countryside</w:t>
      </w:r>
    </w:p>
    <w:p w:rsidR="00A83B67" w:rsidRDefault="00A83B67">
      <w:pPr>
        <w:pStyle w:val="ListParagraph"/>
        <w:numPr>
          <w:ilvl w:val="0"/>
          <w:numId w:val="34"/>
        </w:numPr>
        <w:rPr>
          <w:rFonts w:ascii="Calibri" w:hAnsi="Calibri" w:cs="Calibri"/>
          <w:i/>
          <w:iCs/>
        </w:rPr>
      </w:pPr>
      <w:r>
        <w:rPr>
          <w:rFonts w:ascii="Calibri" w:hAnsi="Calibri" w:cs="Calibri"/>
          <w:i/>
          <w:iCs/>
        </w:rPr>
        <w:t>I think the village is large enough as it stands and would not wish to see any further expansion</w:t>
      </w:r>
    </w:p>
    <w:p w:rsidR="00A83B67" w:rsidRDefault="00A83B67">
      <w:pPr>
        <w:rPr>
          <w:rFonts w:ascii="Calibri" w:hAnsi="Calibri" w:cs="Calibri"/>
          <w:b/>
          <w:bCs/>
        </w:rPr>
      </w:pPr>
    </w:p>
    <w:p w:rsidR="00A83B67" w:rsidRDefault="00A83B67">
      <w:pPr>
        <w:pStyle w:val="Heading5"/>
        <w:rPr>
          <w:rFonts w:ascii="Calibri" w:hAnsi="Calibri" w:cs="Calibri"/>
          <w:color w:val="480B80"/>
          <w:sz w:val="28"/>
          <w:szCs w:val="28"/>
          <w:u w:val="none"/>
        </w:rPr>
      </w:pPr>
      <w:r>
        <w:rPr>
          <w:rFonts w:ascii="Calibri" w:hAnsi="Calibri" w:cs="Calibri"/>
          <w:color w:val="480B80"/>
          <w:sz w:val="28"/>
          <w:szCs w:val="28"/>
          <w:u w:val="none"/>
        </w:rPr>
        <w:t>Suitability of Current Home</w:t>
      </w:r>
    </w:p>
    <w:p w:rsidR="00A83B67" w:rsidRDefault="00A83B67">
      <w:pPr>
        <w:rPr>
          <w:rFonts w:ascii="Calibri" w:hAnsi="Calibri" w:cs="Calibri"/>
          <w:b/>
          <w:bCs/>
        </w:rPr>
      </w:pPr>
    </w:p>
    <w:p w:rsidR="00A83B67" w:rsidRDefault="00A83B67">
      <w:pPr>
        <w:rPr>
          <w:rFonts w:ascii="Calibri" w:hAnsi="Calibri" w:cs="Calibri"/>
        </w:rPr>
      </w:pPr>
      <w:r>
        <w:rPr>
          <w:rFonts w:ascii="Calibri" w:hAnsi="Calibri" w:cs="Calibri"/>
        </w:rPr>
        <w:t xml:space="preserve">Respondents were asked to indicate whether or not their current home was suitable for their household’s needs. Figure 2 shows that 89% of respondents felt their current home was suitable for their household needs, with 11% indicating that their current home is unsuitable for their needs.  </w:t>
      </w:r>
    </w:p>
    <w:p w:rsidR="00A83B67" w:rsidRDefault="00A83B67">
      <w:pPr>
        <w:rPr>
          <w:rFonts w:ascii="Calibri" w:hAnsi="Calibri" w:cs="Calibri"/>
          <w:i/>
          <w:iCs/>
        </w:rPr>
      </w:pPr>
    </w:p>
    <w:p w:rsidR="00A83B67" w:rsidRDefault="00A83B67">
      <w:pPr>
        <w:pStyle w:val="Heading4"/>
        <w:rPr>
          <w:rFonts w:ascii="Calibri" w:hAnsi="Calibri" w:cs="Calibri"/>
          <w:sz w:val="24"/>
          <w:szCs w:val="24"/>
          <w:u w:val="none"/>
        </w:rPr>
      </w:pPr>
      <w:r>
        <w:rPr>
          <w:rFonts w:ascii="Calibri" w:hAnsi="Calibri" w:cs="Calibri"/>
          <w:sz w:val="24"/>
          <w:szCs w:val="24"/>
          <w:u w:val="none"/>
        </w:rPr>
        <w:t>Figure 2: Suitability of current home</w:t>
      </w:r>
    </w:p>
    <w:p w:rsidR="00A83B67" w:rsidRDefault="00A83B67">
      <w:pPr>
        <w:rPr>
          <w:rFonts w:cs="Times New Roman"/>
        </w:rPr>
      </w:pPr>
    </w:p>
    <w:p w:rsidR="00A83B67" w:rsidRDefault="00A83B67">
      <w:pPr>
        <w:jc w:val="center"/>
        <w:rPr>
          <w:rFonts w:cs="Times New Roman"/>
        </w:rPr>
      </w:pPr>
      <w:r>
        <w:rPr>
          <w:rFonts w:cs="Times New Roman"/>
          <w:noProof/>
          <w:lang w:eastAsia="en-GB"/>
        </w:rPr>
        <w:object w:dxaOrig="8670" w:dyaOrig="5050">
          <v:shape id="Chart 4" o:spid="_x0000_i1027" type="#_x0000_t75" style="width:433.5pt;height:252.75pt;visibility:visible" o:ole="">
            <v:imagedata r:id="rId11" o:title=""/>
            <o:lock v:ext="edit" aspectratio="f"/>
          </v:shape>
          <o:OLEObject Type="Embed" ProgID="Excel.Chart.8" ShapeID="Chart 4" DrawAspect="Content" ObjectID="_1387781184" r:id="rId12"/>
        </w:object>
      </w:r>
    </w:p>
    <w:p w:rsidR="00A83B67" w:rsidRDefault="00A83B67">
      <w:pPr>
        <w:rPr>
          <w:rFonts w:ascii="Calibri" w:hAnsi="Calibri" w:cs="Calibri"/>
        </w:rPr>
      </w:pPr>
    </w:p>
    <w:p w:rsidR="00A83B67" w:rsidRDefault="00A83B67">
      <w:pPr>
        <w:pStyle w:val="BodyText"/>
        <w:rPr>
          <w:rFonts w:ascii="Calibri" w:hAnsi="Calibri" w:cs="Calibri"/>
          <w:sz w:val="24"/>
          <w:szCs w:val="24"/>
        </w:rPr>
      </w:pPr>
      <w:r>
        <w:rPr>
          <w:rFonts w:ascii="Calibri" w:hAnsi="Calibri" w:cs="Calibri"/>
          <w:sz w:val="24"/>
          <w:szCs w:val="24"/>
        </w:rPr>
        <w:t>The 11% of respondents who indicated that their current home is unsuitable for their needs equates to 42 households. Those stating their current home is unsuitable were asked to indicate the reasons why. Respondents were allowed to give more than one reason for unsuitability, so all responses are recorded. Figure 3 illustrates the reasons respondents gave for their current home being unsuitable. ‘Current home too small’ and ‘no more suitable homes available locally’ were the most commonly cited reasons in Melbourn.</w:t>
      </w:r>
    </w:p>
    <w:p w:rsidR="00A83B67" w:rsidRDefault="00A83B67">
      <w:pPr>
        <w:pStyle w:val="BodyText"/>
        <w:rPr>
          <w:rFonts w:ascii="Calibri" w:hAnsi="Calibri" w:cs="Calibri"/>
          <w:sz w:val="24"/>
          <w:szCs w:val="24"/>
        </w:rPr>
      </w:pPr>
    </w:p>
    <w:p w:rsidR="00A83B67" w:rsidRDefault="00A83B67">
      <w:pPr>
        <w:pStyle w:val="BodyText"/>
        <w:rPr>
          <w:rFonts w:ascii="Calibri" w:hAnsi="Calibri" w:cs="Calibri"/>
          <w:sz w:val="24"/>
          <w:szCs w:val="24"/>
        </w:rPr>
      </w:pPr>
    </w:p>
    <w:p w:rsidR="00A83B67" w:rsidRDefault="00A83B67">
      <w:pPr>
        <w:rPr>
          <w:rFonts w:ascii="Calibri" w:hAnsi="Calibri" w:cs="Calibri"/>
          <w:i/>
          <w:iCs/>
        </w:rPr>
      </w:pPr>
      <w:r>
        <w:rPr>
          <w:rFonts w:ascii="Calibri" w:hAnsi="Calibri" w:cs="Calibri"/>
          <w:i/>
          <w:iCs/>
        </w:rPr>
        <w:t>Figure 3: Reasons why current home is unsuitable</w:t>
      </w:r>
    </w:p>
    <w:p w:rsidR="00A83B67" w:rsidRDefault="00A83B67">
      <w:pPr>
        <w:rPr>
          <w:rFonts w:ascii="Calibri" w:hAnsi="Calibri" w:cs="Calibri"/>
          <w:i/>
          <w:iCs/>
        </w:rPr>
      </w:pPr>
    </w:p>
    <w:p w:rsidR="00A83B67" w:rsidRDefault="00A83B67">
      <w:pPr>
        <w:jc w:val="center"/>
        <w:rPr>
          <w:rFonts w:ascii="Calibri" w:hAnsi="Calibri" w:cs="Calibri"/>
          <w:i/>
          <w:iCs/>
        </w:rPr>
      </w:pPr>
      <w:r>
        <w:rPr>
          <w:rFonts w:ascii="Calibri" w:hAnsi="Calibri" w:cs="Calibri"/>
          <w:i/>
          <w:iCs/>
          <w:noProof/>
          <w:lang w:eastAsia="en-GB"/>
        </w:rPr>
        <w:pict>
          <v:shape id="_x0000_i1028" type="#_x0000_t75" style="width:416.25pt;height:247.5pt;visibility:visible">
            <v:imagedata r:id="rId13" o:title=""/>
            <o:lock v:ext="edit" aspectratio="f"/>
          </v:shape>
        </w:pic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The most frequently quoted reasons for the household’s current home being unsuitable in general are:</w:t>
      </w:r>
    </w:p>
    <w:p w:rsidR="00A83B67" w:rsidRDefault="00A83B67">
      <w:pPr>
        <w:rPr>
          <w:rFonts w:ascii="Calibri" w:hAnsi="Calibri" w:cs="Calibri"/>
        </w:rPr>
      </w:pPr>
    </w:p>
    <w:p w:rsidR="00A83B67" w:rsidRDefault="00A83B67">
      <w:pPr>
        <w:rPr>
          <w:rFonts w:ascii="Calibri" w:hAnsi="Calibri" w:cs="Calibri"/>
          <w:b/>
          <w:bCs/>
        </w:rPr>
      </w:pPr>
      <w:r>
        <w:rPr>
          <w:rFonts w:ascii="Calibri" w:hAnsi="Calibri" w:cs="Calibri"/>
          <w:b/>
          <w:bCs/>
        </w:rPr>
        <w:t xml:space="preserve">The property is too small: </w:t>
      </w:r>
      <w:r>
        <w:rPr>
          <w:rFonts w:ascii="Calibri" w:hAnsi="Calibri" w:cs="Calibri"/>
        </w:rPr>
        <w:t>If the family is getting larger through additional children, through blended families or through families merging to provide care and support, then the property may become too small for the family’s needs.</w:t>
      </w:r>
    </w:p>
    <w:p w:rsidR="00A83B67" w:rsidRDefault="00A83B67">
      <w:pPr>
        <w:rPr>
          <w:rFonts w:ascii="Calibri" w:hAnsi="Calibri" w:cs="Calibri"/>
          <w:b/>
          <w:bCs/>
        </w:rPr>
      </w:pPr>
    </w:p>
    <w:p w:rsidR="00A83B67" w:rsidRDefault="00A83B67">
      <w:pPr>
        <w:rPr>
          <w:rFonts w:ascii="Calibri" w:hAnsi="Calibri" w:cs="Calibri"/>
        </w:rPr>
      </w:pPr>
      <w:r>
        <w:rPr>
          <w:rFonts w:ascii="Calibri" w:hAnsi="Calibri" w:cs="Calibri"/>
          <w:b/>
          <w:bCs/>
        </w:rPr>
        <w:t xml:space="preserve">The property is too large: </w:t>
      </w:r>
      <w:r>
        <w:rPr>
          <w:rFonts w:ascii="Calibri" w:hAnsi="Calibri" w:cs="Calibri"/>
        </w:rPr>
        <w:t>Large homes are expensive to heat and maintain.</w:t>
      </w:r>
    </w:p>
    <w:p w:rsidR="00A83B67" w:rsidRDefault="00A83B67">
      <w:pPr>
        <w:rPr>
          <w:rFonts w:ascii="Calibri" w:hAnsi="Calibri" w:cs="Calibri"/>
          <w:b/>
          <w:bCs/>
        </w:rPr>
      </w:pPr>
    </w:p>
    <w:p w:rsidR="00A83B67" w:rsidRDefault="00A83B67">
      <w:pPr>
        <w:rPr>
          <w:rFonts w:ascii="Calibri" w:hAnsi="Calibri" w:cs="Calibri"/>
          <w:b/>
          <w:bCs/>
        </w:rPr>
      </w:pPr>
      <w:r>
        <w:rPr>
          <w:rFonts w:ascii="Calibri" w:hAnsi="Calibri" w:cs="Calibri"/>
          <w:b/>
          <w:bCs/>
        </w:rPr>
        <w:t xml:space="preserve">The property needs repair: </w:t>
      </w:r>
      <w:r>
        <w:rPr>
          <w:rFonts w:ascii="Calibri" w:hAnsi="Calibri" w:cs="Calibri"/>
        </w:rPr>
        <w:t>Older properties can require significant repairs that can be prohibitively expensive.</w:t>
      </w:r>
    </w:p>
    <w:p w:rsidR="00A83B67" w:rsidRDefault="00A83B67">
      <w:pPr>
        <w:rPr>
          <w:rFonts w:ascii="Calibri" w:hAnsi="Calibri" w:cs="Calibri"/>
          <w:b/>
          <w:bCs/>
        </w:rPr>
      </w:pPr>
    </w:p>
    <w:p w:rsidR="00A83B67" w:rsidRDefault="00A83B67">
      <w:pPr>
        <w:pStyle w:val="BodyText"/>
        <w:rPr>
          <w:rFonts w:ascii="Calibri" w:hAnsi="Calibri" w:cs="Calibri"/>
          <w:sz w:val="24"/>
          <w:szCs w:val="24"/>
        </w:rPr>
      </w:pPr>
      <w:r>
        <w:rPr>
          <w:rFonts w:ascii="Calibri" w:hAnsi="Calibri" w:cs="Calibri"/>
          <w:b/>
          <w:bCs/>
          <w:sz w:val="24"/>
          <w:szCs w:val="24"/>
        </w:rPr>
        <w:t xml:space="preserve">It needs a bathroom: </w:t>
      </w:r>
      <w:r>
        <w:rPr>
          <w:rFonts w:ascii="Calibri" w:hAnsi="Calibri" w:cs="Calibri"/>
          <w:sz w:val="24"/>
          <w:szCs w:val="24"/>
        </w:rPr>
        <w:t>This is usually a question of accessibility, with the bathroom being upstairs when the person can no longer use the stairs easily.</w:t>
      </w:r>
    </w:p>
    <w:p w:rsidR="00A83B67" w:rsidRDefault="00A83B67">
      <w:pPr>
        <w:pStyle w:val="BodyText"/>
        <w:rPr>
          <w:rFonts w:ascii="Calibri" w:hAnsi="Calibri" w:cs="Calibri"/>
          <w:sz w:val="24"/>
          <w:szCs w:val="24"/>
        </w:rPr>
      </w:pPr>
    </w:p>
    <w:p w:rsidR="00A83B67" w:rsidRDefault="00A83B67">
      <w:pPr>
        <w:pStyle w:val="BodyText"/>
        <w:rPr>
          <w:rFonts w:ascii="Calibri" w:hAnsi="Calibri" w:cs="Calibri"/>
          <w:sz w:val="24"/>
          <w:szCs w:val="24"/>
        </w:rPr>
      </w:pPr>
      <w:r>
        <w:rPr>
          <w:rFonts w:ascii="Calibri" w:hAnsi="Calibri" w:cs="Calibri"/>
          <w:b/>
          <w:bCs/>
          <w:sz w:val="24"/>
          <w:szCs w:val="24"/>
        </w:rPr>
        <w:t>The property requires adaptations</w:t>
      </w:r>
      <w:r>
        <w:rPr>
          <w:rFonts w:ascii="Calibri" w:hAnsi="Calibri" w:cs="Calibri"/>
          <w:sz w:val="24"/>
          <w:szCs w:val="24"/>
        </w:rPr>
        <w:t>: To make the property more suitable for the occupants’ needs (which relates to people having medical problems).</w:t>
      </w:r>
    </w:p>
    <w:p w:rsidR="00A83B67" w:rsidRDefault="00A83B67">
      <w:pPr>
        <w:rPr>
          <w:rFonts w:ascii="Calibri" w:hAnsi="Calibri" w:cs="Calibri"/>
          <w:b/>
          <w:bCs/>
        </w:rPr>
      </w:pPr>
    </w:p>
    <w:p w:rsidR="00A83B67" w:rsidRDefault="00A83B67">
      <w:pPr>
        <w:pStyle w:val="BodyText"/>
        <w:rPr>
          <w:rFonts w:ascii="Calibri" w:hAnsi="Calibri" w:cs="Calibri"/>
          <w:sz w:val="24"/>
          <w:szCs w:val="24"/>
        </w:rPr>
      </w:pPr>
      <w:r>
        <w:rPr>
          <w:rFonts w:ascii="Calibri" w:hAnsi="Calibri" w:cs="Calibri"/>
          <w:b/>
          <w:bCs/>
          <w:sz w:val="24"/>
          <w:szCs w:val="24"/>
        </w:rPr>
        <w:t xml:space="preserve">The property is too expensive: </w:t>
      </w:r>
      <w:r>
        <w:rPr>
          <w:rFonts w:ascii="Calibri" w:hAnsi="Calibri" w:cs="Calibri"/>
          <w:sz w:val="24"/>
          <w:szCs w:val="24"/>
        </w:rPr>
        <w:t xml:space="preserve">As family circumstances change, people no longer require large properties and think about ‘downsizing’ to a more appropriate home. </w:t>
      </w:r>
    </w:p>
    <w:p w:rsidR="00A83B67" w:rsidRDefault="00A83B67">
      <w:pPr>
        <w:rPr>
          <w:rFonts w:ascii="Calibri" w:hAnsi="Calibri" w:cs="Calibri"/>
          <w:b/>
          <w:bCs/>
        </w:rPr>
      </w:pPr>
    </w:p>
    <w:p w:rsidR="00A83B67" w:rsidRDefault="00A83B67">
      <w:pPr>
        <w:rPr>
          <w:rFonts w:ascii="Calibri" w:hAnsi="Calibri" w:cs="Calibri"/>
        </w:rPr>
      </w:pPr>
      <w:r>
        <w:rPr>
          <w:rFonts w:ascii="Calibri" w:hAnsi="Calibri" w:cs="Calibri"/>
          <w:b/>
          <w:bCs/>
        </w:rPr>
        <w:t xml:space="preserve">It is in the wrong place: </w:t>
      </w:r>
      <w:r>
        <w:rPr>
          <w:rFonts w:ascii="Calibri" w:hAnsi="Calibri" w:cs="Calibri"/>
        </w:rPr>
        <w:t>Where people indicate that their current property is in the wrong location; usually this is an accessibility problem as people can no longer get to the shops or to visit their friends and family.</w:t>
      </w:r>
    </w:p>
    <w:p w:rsidR="00A83B67" w:rsidRDefault="00A83B67">
      <w:pPr>
        <w:rPr>
          <w:rFonts w:ascii="Calibri" w:hAnsi="Calibri" w:cs="Calibri"/>
          <w:b/>
          <w:bCs/>
        </w:rPr>
      </w:pPr>
    </w:p>
    <w:p w:rsidR="00A83B67" w:rsidRDefault="00A83B67">
      <w:pPr>
        <w:rPr>
          <w:rFonts w:ascii="Calibri" w:hAnsi="Calibri" w:cs="Calibri"/>
          <w:b/>
          <w:bCs/>
        </w:rPr>
      </w:pPr>
      <w:r>
        <w:rPr>
          <w:rFonts w:ascii="Calibri" w:hAnsi="Calibri" w:cs="Calibri"/>
          <w:b/>
          <w:bCs/>
        </w:rPr>
        <w:t xml:space="preserve">Medical problems: </w:t>
      </w:r>
      <w:r>
        <w:rPr>
          <w:rFonts w:ascii="Calibri" w:hAnsi="Calibri" w:cs="Calibri"/>
        </w:rPr>
        <w:t>This may mean that a previously ideal property becomes unsuitable, for example, if an occupant can no longer manage the stairs or if they need access to a ground floor bathroom and their home has no such facility. These people’s needs may be better met through a bungalow, but these properties are not always available within the same village.</w:t>
      </w:r>
    </w:p>
    <w:p w:rsidR="00A83B67" w:rsidRDefault="00A83B67">
      <w:pPr>
        <w:rPr>
          <w:rFonts w:ascii="Calibri" w:hAnsi="Calibri" w:cs="Calibri"/>
          <w:b/>
          <w:bCs/>
        </w:rPr>
      </w:pPr>
    </w:p>
    <w:p w:rsidR="00A83B67" w:rsidRDefault="00A83B67">
      <w:pPr>
        <w:rPr>
          <w:rFonts w:ascii="Calibri" w:hAnsi="Calibri" w:cs="Calibri"/>
        </w:rPr>
      </w:pPr>
      <w:r>
        <w:rPr>
          <w:rFonts w:ascii="Calibri" w:hAnsi="Calibri" w:cs="Calibri"/>
          <w:b/>
          <w:bCs/>
        </w:rPr>
        <w:t xml:space="preserve">The need to set up their own home: </w:t>
      </w:r>
      <w:r>
        <w:rPr>
          <w:rFonts w:ascii="Calibri" w:hAnsi="Calibri" w:cs="Calibri"/>
        </w:rPr>
        <w:t>Usually people wishing to move away from the family home, for example young people living with their parents who wish to leave home.</w:t>
      </w:r>
    </w:p>
    <w:p w:rsidR="00A83B67" w:rsidRDefault="00A83B67">
      <w:pPr>
        <w:rPr>
          <w:rFonts w:ascii="Calibri" w:hAnsi="Calibri" w:cs="Calibri"/>
          <w:b/>
          <w:bCs/>
        </w:rPr>
      </w:pPr>
    </w:p>
    <w:p w:rsidR="00A83B67" w:rsidRDefault="00A83B67">
      <w:pPr>
        <w:rPr>
          <w:rFonts w:ascii="Calibri" w:hAnsi="Calibri" w:cs="Calibri"/>
        </w:rPr>
      </w:pPr>
      <w:r>
        <w:rPr>
          <w:rFonts w:ascii="Calibri" w:hAnsi="Calibri" w:cs="Calibri"/>
          <w:b/>
          <w:bCs/>
        </w:rPr>
        <w:t xml:space="preserve">Changing family circumstances: </w:t>
      </w:r>
      <w:r>
        <w:rPr>
          <w:rFonts w:ascii="Calibri" w:hAnsi="Calibri" w:cs="Calibri"/>
        </w:rPr>
        <w:t xml:space="preserve">In this survey, this was the most popular reason given for households needing to move. Situations like divorce, a new baby or an elderly relative moving in could be factors in a home becoming unsuitable. These factors may dictate moving to a smaller, cheaper property or to a larger one to accommodate new members to the family. </w:t>
      </w:r>
    </w:p>
    <w:p w:rsidR="00A83B67" w:rsidRDefault="00A83B67">
      <w:pPr>
        <w:pStyle w:val="BodyText"/>
        <w:rPr>
          <w:rFonts w:ascii="Calibri" w:hAnsi="Calibri" w:cs="Calibri"/>
          <w:sz w:val="24"/>
          <w:szCs w:val="24"/>
        </w:rPr>
      </w:pPr>
    </w:p>
    <w:p w:rsidR="00A83B67" w:rsidRDefault="00A83B67">
      <w:pPr>
        <w:pStyle w:val="BodyText"/>
        <w:rPr>
          <w:rFonts w:ascii="Calibri" w:hAnsi="Calibri" w:cs="Calibri"/>
          <w:sz w:val="24"/>
          <w:szCs w:val="24"/>
        </w:rPr>
      </w:pPr>
      <w:r>
        <w:rPr>
          <w:rFonts w:ascii="Calibri" w:hAnsi="Calibri" w:cs="Calibri"/>
          <w:b/>
          <w:bCs/>
          <w:sz w:val="24"/>
          <w:szCs w:val="24"/>
        </w:rPr>
        <w:t>Change tenure</w:t>
      </w:r>
      <w:r>
        <w:rPr>
          <w:rFonts w:ascii="Calibri" w:hAnsi="Calibri" w:cs="Calibri"/>
          <w:sz w:val="24"/>
          <w:szCs w:val="24"/>
        </w:rPr>
        <w:t xml:space="preserve">: This reason is usually given when people want to move from a privately rented property to a cheaper housing association property, or they may live in tied accommodation and are considering retirement or a change of employment which will oblige them to leave their current home.  </w:t>
      </w:r>
    </w:p>
    <w:p w:rsidR="00A83B67" w:rsidRDefault="00A83B67">
      <w:pPr>
        <w:rPr>
          <w:rFonts w:ascii="Calibri" w:hAnsi="Calibri" w:cs="Calibri"/>
          <w:b/>
          <w:bCs/>
        </w:rPr>
      </w:pPr>
    </w:p>
    <w:p w:rsidR="00A83B67" w:rsidRDefault="00A83B67">
      <w:pPr>
        <w:rPr>
          <w:rFonts w:ascii="Calibri" w:hAnsi="Calibri" w:cs="Calibri"/>
        </w:rPr>
      </w:pPr>
      <w:r>
        <w:rPr>
          <w:rFonts w:ascii="Calibri" w:hAnsi="Calibri" w:cs="Calibri"/>
          <w:b/>
          <w:bCs/>
        </w:rPr>
        <w:t xml:space="preserve">No suitable homes available locally: </w:t>
      </w:r>
      <w:r>
        <w:rPr>
          <w:rFonts w:ascii="Calibri" w:hAnsi="Calibri" w:cs="Calibri"/>
        </w:rPr>
        <w:t>People wish to stay in the area due to family reasons, schools or work but are unable to find a home more suited to their needs. Larger family homes and reasonably priced bungalows are the most commonly required properties and are often in short supply.</w:t>
      </w:r>
    </w:p>
    <w:p w:rsidR="00A83B67" w:rsidRDefault="00A83B67">
      <w:pPr>
        <w:pStyle w:val="BodyText"/>
        <w:rPr>
          <w:rFonts w:ascii="Calibri" w:hAnsi="Calibri" w:cs="Calibri"/>
          <w:sz w:val="24"/>
          <w:szCs w:val="24"/>
        </w:rPr>
      </w:pPr>
    </w:p>
    <w:p w:rsidR="00A83B67" w:rsidRDefault="00A83B67">
      <w:pPr>
        <w:rPr>
          <w:rFonts w:ascii="Calibri" w:hAnsi="Calibri" w:cs="Calibri"/>
          <w:lang w:val="en-US"/>
        </w:rPr>
      </w:pPr>
      <w:r>
        <w:rPr>
          <w:rFonts w:ascii="Calibri" w:hAnsi="Calibri" w:cs="Calibri"/>
          <w:lang w:val="en-US"/>
        </w:rPr>
        <w:br w:type="page"/>
      </w:r>
    </w:p>
    <w:p w:rsidR="00A83B67" w:rsidRDefault="00A83B67">
      <w:pPr>
        <w:rPr>
          <w:rFonts w:ascii="Calibri" w:hAnsi="Calibri" w:cs="Calibri"/>
          <w:b/>
          <w:bCs/>
          <w:sz w:val="28"/>
          <w:szCs w:val="28"/>
        </w:rPr>
      </w:pPr>
      <w:r>
        <w:rPr>
          <w:rFonts w:ascii="Calibri" w:hAnsi="Calibri" w:cs="Calibri"/>
          <w:b/>
          <w:bCs/>
          <w:sz w:val="28"/>
          <w:szCs w:val="28"/>
        </w:rPr>
        <w:t>RESULTS FROM PART TWO – IDENTIFYING CIRCUMSTANCES AND REQUIREMENTS</w:t>
      </w:r>
    </w:p>
    <w:p w:rsidR="00A83B67" w:rsidRDefault="00A83B67">
      <w:pPr>
        <w:rPr>
          <w:rFonts w:ascii="Calibri" w:hAnsi="Calibri" w:cs="Calibri"/>
          <w:b/>
          <w:bCs/>
        </w:rPr>
      </w:pPr>
    </w:p>
    <w:p w:rsidR="00A83B67" w:rsidRDefault="00A83B67">
      <w:pPr>
        <w:rPr>
          <w:rFonts w:ascii="Calibri" w:hAnsi="Calibri" w:cs="Calibri"/>
        </w:rPr>
      </w:pPr>
      <w:r>
        <w:rPr>
          <w:rFonts w:ascii="Calibri" w:hAnsi="Calibri" w:cs="Calibri"/>
        </w:rPr>
        <w:t>Part Two of the Survey was only completed by those respondents who had indicated that their current home was unsuitable for their household’s needs and who were therefore potentially in housing need. Responses to Part Two were made on behalf of 42 households.</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An assessment of each response has been undertaken by Cambridgeshire ACRE and a decision made regarding whether the household can be considered a potential candidate for affordable housing in Melbourn based upon:</w:t>
      </w:r>
    </w:p>
    <w:p w:rsidR="00A83B67" w:rsidRDefault="00A83B67">
      <w:pPr>
        <w:pStyle w:val="ListParagraph"/>
        <w:numPr>
          <w:ilvl w:val="0"/>
          <w:numId w:val="16"/>
        </w:numPr>
        <w:rPr>
          <w:rFonts w:ascii="Calibri" w:hAnsi="Calibri" w:cs="Calibri"/>
        </w:rPr>
      </w:pPr>
      <w:r>
        <w:rPr>
          <w:rFonts w:ascii="Calibri" w:hAnsi="Calibri" w:cs="Calibri"/>
        </w:rPr>
        <w:t>particular medical and welfare needs,</w:t>
      </w:r>
    </w:p>
    <w:p w:rsidR="00A83B67" w:rsidRDefault="00A83B67">
      <w:pPr>
        <w:pStyle w:val="ListParagraph"/>
        <w:numPr>
          <w:ilvl w:val="0"/>
          <w:numId w:val="16"/>
        </w:numPr>
        <w:rPr>
          <w:rFonts w:ascii="Calibri" w:hAnsi="Calibri" w:cs="Calibri"/>
        </w:rPr>
      </w:pPr>
      <w:r>
        <w:rPr>
          <w:rFonts w:ascii="Calibri" w:hAnsi="Calibri" w:cs="Calibri"/>
        </w:rPr>
        <w:t>proof of local connection,</w:t>
      </w:r>
    </w:p>
    <w:p w:rsidR="00A83B67" w:rsidRDefault="00A83B67">
      <w:pPr>
        <w:pStyle w:val="ListParagraph"/>
        <w:numPr>
          <w:ilvl w:val="0"/>
          <w:numId w:val="16"/>
        </w:numPr>
        <w:rPr>
          <w:rFonts w:ascii="Calibri" w:hAnsi="Calibri" w:cs="Calibri"/>
        </w:rPr>
      </w:pPr>
      <w:r>
        <w:rPr>
          <w:rFonts w:ascii="Calibri" w:hAnsi="Calibri" w:cs="Calibri"/>
        </w:rPr>
        <w:t>ability to gain access to and maintain suitable housing privately.</w:t>
      </w:r>
    </w:p>
    <w:p w:rsidR="00A83B67" w:rsidRDefault="00A83B67">
      <w:pPr>
        <w:pStyle w:val="Heading5"/>
        <w:rPr>
          <w:rFonts w:ascii="Calibri" w:hAnsi="Calibri" w:cs="Calibri"/>
          <w:sz w:val="28"/>
          <w:szCs w:val="28"/>
          <w:u w:val="none"/>
        </w:rPr>
      </w:pPr>
    </w:p>
    <w:p w:rsidR="00A83B67" w:rsidRDefault="00A83B67">
      <w:pPr>
        <w:rPr>
          <w:rFonts w:ascii="Calibri" w:hAnsi="Calibri" w:cs="Calibri"/>
        </w:rPr>
      </w:pPr>
      <w:r>
        <w:rPr>
          <w:rFonts w:ascii="Calibri" w:hAnsi="Calibri" w:cs="Calibri"/>
        </w:rPr>
        <w:t>Following this assessment, 13 households were excluded leaving 29 households who were actually considered to be in need of affordable housing. The main reason for excluding households at this stage was that they planned to address their own housing needs through the private housing market.</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The remainder of this section sets out the overall findings regarding those found to be in need of affordable housing in Melbourn.</w:t>
      </w:r>
    </w:p>
    <w:p w:rsidR="00A83B67" w:rsidRDefault="00A83B67">
      <w:pPr>
        <w:rPr>
          <w:rFonts w:ascii="Calibri" w:hAnsi="Calibri" w:cs="Calibri"/>
        </w:rPr>
      </w:pPr>
    </w:p>
    <w:p w:rsidR="00A83B67" w:rsidRDefault="00A83B67">
      <w:pPr>
        <w:pStyle w:val="Heading5"/>
        <w:rPr>
          <w:rFonts w:ascii="Calibri" w:hAnsi="Calibri" w:cs="Calibri"/>
          <w:color w:val="480B80"/>
          <w:sz w:val="28"/>
          <w:szCs w:val="28"/>
          <w:u w:val="none"/>
        </w:rPr>
      </w:pPr>
      <w:r>
        <w:rPr>
          <w:rFonts w:ascii="Calibri" w:hAnsi="Calibri" w:cs="Calibri"/>
          <w:color w:val="480B80"/>
          <w:sz w:val="28"/>
          <w:szCs w:val="28"/>
          <w:u w:val="none"/>
        </w:rPr>
        <w:t>Local Connection to Melbourn</w:t>
      </w:r>
    </w:p>
    <w:p w:rsidR="00A83B67" w:rsidRDefault="00A83B67">
      <w:pPr>
        <w:rPr>
          <w:rFonts w:ascii="Calibri" w:hAnsi="Calibri" w:cs="Calibri"/>
          <w:b/>
          <w:bCs/>
        </w:rPr>
      </w:pPr>
    </w:p>
    <w:p w:rsidR="00A83B67" w:rsidRDefault="00A83B67">
      <w:pPr>
        <w:rPr>
          <w:rFonts w:ascii="Calibri" w:hAnsi="Calibri" w:cs="Calibri"/>
          <w:b/>
          <w:bCs/>
        </w:rPr>
      </w:pPr>
      <w:r>
        <w:rPr>
          <w:rFonts w:ascii="Calibri" w:hAnsi="Calibri" w:cs="Calibri"/>
          <w:b/>
          <w:bCs/>
        </w:rPr>
        <w:t>Residence</w:t>
      </w:r>
    </w:p>
    <w:p w:rsidR="00A83B67" w:rsidRDefault="00A83B67">
      <w:pPr>
        <w:rPr>
          <w:rFonts w:ascii="Calibri" w:hAnsi="Calibri" w:cs="Calibri"/>
        </w:rPr>
      </w:pPr>
      <w:r>
        <w:rPr>
          <w:rFonts w:ascii="Calibri" w:hAnsi="Calibri" w:cs="Calibri"/>
        </w:rPr>
        <w:t xml:space="preserve">Respondents were asked to indicate whether or not they currently lived in Melbourn. All bar one of the 29 households responding currently live within the parish of Melbourn. </w:t>
      </w:r>
    </w:p>
    <w:p w:rsidR="00A83B67" w:rsidRDefault="00A83B67">
      <w:pPr>
        <w:rPr>
          <w:rFonts w:ascii="Calibri" w:hAnsi="Calibri" w:cs="Calibri"/>
          <w:b/>
          <w:bCs/>
        </w:rPr>
      </w:pPr>
    </w:p>
    <w:p w:rsidR="00A83B67" w:rsidRDefault="00A83B67">
      <w:pPr>
        <w:pStyle w:val="BodyText"/>
        <w:rPr>
          <w:rFonts w:ascii="Calibri" w:hAnsi="Calibri" w:cs="Calibri"/>
          <w:sz w:val="24"/>
          <w:szCs w:val="24"/>
        </w:rPr>
      </w:pPr>
      <w:r>
        <w:rPr>
          <w:rFonts w:ascii="Calibri" w:hAnsi="Calibri" w:cs="Calibri"/>
          <w:sz w:val="24"/>
          <w:szCs w:val="24"/>
        </w:rPr>
        <w:t>Table 5 below shows how long these 28 households have resided there. Over half of the households have lived in the parish for over 15 years. Only six have lived in the parish for less than five years.</w:t>
      </w:r>
    </w:p>
    <w:p w:rsidR="00A83B67" w:rsidRDefault="00A83B67">
      <w:pPr>
        <w:pStyle w:val="Heading4"/>
        <w:rPr>
          <w:rFonts w:ascii="Calibri" w:hAnsi="Calibri" w:cs="Calibri"/>
          <w:sz w:val="24"/>
          <w:szCs w:val="24"/>
          <w:u w:val="none"/>
        </w:rPr>
      </w:pPr>
    </w:p>
    <w:p w:rsidR="00A83B67" w:rsidRDefault="00A83B67">
      <w:pPr>
        <w:pStyle w:val="Heading4"/>
        <w:rPr>
          <w:rFonts w:ascii="Calibri" w:hAnsi="Calibri" w:cs="Calibri"/>
          <w:sz w:val="24"/>
          <w:szCs w:val="24"/>
          <w:u w:val="none"/>
        </w:rPr>
      </w:pPr>
      <w:r>
        <w:rPr>
          <w:rFonts w:ascii="Calibri" w:hAnsi="Calibri" w:cs="Calibri"/>
          <w:sz w:val="24"/>
          <w:szCs w:val="24"/>
          <w:u w:val="none"/>
        </w:rPr>
        <w:t>Table 5: Length of time living in the village</w:t>
      </w:r>
    </w:p>
    <w:p w:rsidR="00A83B67" w:rsidRDefault="00A83B67">
      <w:pPr>
        <w:rPr>
          <w:rFonts w:ascii="Calibri" w:hAnsi="Calibri" w:cs="Calibri"/>
          <w:b/>
          <w:bCs/>
        </w:rPr>
      </w:pPr>
    </w:p>
    <w:tbl>
      <w:tblPr>
        <w:tblW w:w="3686" w:type="dxa"/>
        <w:tblInd w:w="2" w:type="dxa"/>
        <w:tblCellMar>
          <w:left w:w="113" w:type="dxa"/>
          <w:right w:w="113" w:type="dxa"/>
        </w:tblCellMar>
        <w:tblLook w:val="0000"/>
      </w:tblPr>
      <w:tblGrid>
        <w:gridCol w:w="2268"/>
        <w:gridCol w:w="1418"/>
      </w:tblGrid>
      <w:tr w:rsidR="00A83B67">
        <w:tc>
          <w:tcPr>
            <w:tcW w:w="2268" w:type="dxa"/>
            <w:tcBorders>
              <w:top w:val="single" w:sz="4" w:space="0" w:color="auto"/>
              <w:left w:val="single" w:sz="4" w:space="0" w:color="auto"/>
              <w:bottom w:val="single" w:sz="4" w:space="0" w:color="auto"/>
              <w:right w:val="nil"/>
            </w:tcBorders>
            <w:shd w:val="clear" w:color="auto" w:fill="480B80"/>
            <w:vAlign w:val="center"/>
          </w:tcPr>
          <w:p w:rsidR="00A83B67" w:rsidRDefault="00A83B67">
            <w:pPr>
              <w:rPr>
                <w:rFonts w:ascii="Calibri" w:eastAsia="Arial Unicode MS" w:hAnsi="Calibri" w:cs="Times New Roman"/>
                <w:b/>
                <w:bCs/>
                <w:color w:val="FFFFFF"/>
              </w:rPr>
            </w:pPr>
          </w:p>
        </w:tc>
        <w:tc>
          <w:tcPr>
            <w:tcW w:w="1418"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A83B67" w:rsidRDefault="00A83B67">
            <w:pPr>
              <w:jc w:val="right"/>
              <w:rPr>
                <w:rFonts w:ascii="Calibri" w:eastAsia="Arial Unicode MS" w:hAnsi="Calibri" w:cs="Times New Roman"/>
                <w:color w:val="FFFFFF"/>
              </w:rPr>
            </w:pPr>
            <w:r>
              <w:rPr>
                <w:rFonts w:ascii="Calibri" w:hAnsi="Calibri" w:cs="Calibri"/>
                <w:color w:val="FFFFFF"/>
              </w:rPr>
              <w:t>Frequency</w:t>
            </w:r>
          </w:p>
        </w:tc>
      </w:tr>
      <w:tr w:rsidR="00A83B67">
        <w:trPr>
          <w:trHeight w:val="255"/>
        </w:trPr>
        <w:tc>
          <w:tcPr>
            <w:tcW w:w="2268" w:type="dxa"/>
            <w:tcBorders>
              <w:top w:val="single" w:sz="4" w:space="0" w:color="auto"/>
              <w:left w:val="single" w:sz="4" w:space="0" w:color="auto"/>
              <w:bottom w:val="nil"/>
              <w:right w:val="nil"/>
            </w:tcBorders>
            <w:vAlign w:val="bottom"/>
          </w:tcPr>
          <w:p w:rsidR="00A83B67" w:rsidRDefault="00A83B67">
            <w:pPr>
              <w:rPr>
                <w:rFonts w:ascii="Calibri" w:hAnsi="Calibri" w:cs="Calibri"/>
              </w:rPr>
            </w:pPr>
            <w:r>
              <w:rPr>
                <w:rFonts w:ascii="Calibri" w:hAnsi="Calibri" w:cs="Calibri"/>
              </w:rPr>
              <w:t>Less than 1 year</w:t>
            </w:r>
          </w:p>
        </w:tc>
        <w:tc>
          <w:tcPr>
            <w:tcW w:w="1418"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1</w:t>
            </w:r>
          </w:p>
        </w:tc>
      </w:tr>
      <w:tr w:rsidR="00A83B67">
        <w:trPr>
          <w:trHeight w:val="255"/>
        </w:trPr>
        <w:tc>
          <w:tcPr>
            <w:tcW w:w="2268"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1-5 years</w:t>
            </w:r>
          </w:p>
        </w:tc>
        <w:tc>
          <w:tcPr>
            <w:tcW w:w="1418"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5</w:t>
            </w:r>
          </w:p>
        </w:tc>
      </w:tr>
      <w:tr w:rsidR="00A83B67">
        <w:trPr>
          <w:trHeight w:val="255"/>
        </w:trPr>
        <w:tc>
          <w:tcPr>
            <w:tcW w:w="2268"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5-10 years</w:t>
            </w:r>
          </w:p>
        </w:tc>
        <w:tc>
          <w:tcPr>
            <w:tcW w:w="1418"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5</w:t>
            </w:r>
          </w:p>
        </w:tc>
      </w:tr>
      <w:tr w:rsidR="00A83B67">
        <w:trPr>
          <w:trHeight w:val="255"/>
        </w:trPr>
        <w:tc>
          <w:tcPr>
            <w:tcW w:w="2268"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10-15 years</w:t>
            </w:r>
          </w:p>
        </w:tc>
        <w:tc>
          <w:tcPr>
            <w:tcW w:w="1418"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2</w:t>
            </w:r>
          </w:p>
        </w:tc>
      </w:tr>
      <w:tr w:rsidR="00A83B67">
        <w:trPr>
          <w:trHeight w:val="255"/>
        </w:trPr>
        <w:tc>
          <w:tcPr>
            <w:tcW w:w="2268"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More than 15 years</w:t>
            </w:r>
          </w:p>
        </w:tc>
        <w:tc>
          <w:tcPr>
            <w:tcW w:w="1418"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15</w:t>
            </w:r>
          </w:p>
        </w:tc>
      </w:tr>
      <w:tr w:rsidR="00A83B67">
        <w:trPr>
          <w:trHeight w:val="255"/>
        </w:trPr>
        <w:tc>
          <w:tcPr>
            <w:tcW w:w="2268"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Not stated</w:t>
            </w:r>
          </w:p>
        </w:tc>
        <w:tc>
          <w:tcPr>
            <w:tcW w:w="1418"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0</w:t>
            </w:r>
          </w:p>
        </w:tc>
      </w:tr>
      <w:tr w:rsidR="00A83B67">
        <w:trPr>
          <w:trHeight w:val="255"/>
        </w:trPr>
        <w:tc>
          <w:tcPr>
            <w:tcW w:w="2268" w:type="dxa"/>
            <w:tcBorders>
              <w:top w:val="nil"/>
              <w:left w:val="single" w:sz="4" w:space="0" w:color="auto"/>
              <w:bottom w:val="single" w:sz="4" w:space="0" w:color="auto"/>
              <w:right w:val="nil"/>
            </w:tcBorders>
            <w:shd w:val="clear" w:color="auto" w:fill="F2F2F2"/>
            <w:vAlign w:val="bottom"/>
          </w:tcPr>
          <w:p w:rsidR="00A83B67" w:rsidRDefault="00A83B67">
            <w:pPr>
              <w:rPr>
                <w:rFonts w:ascii="Calibri" w:hAnsi="Calibri" w:cs="Calibri"/>
              </w:rPr>
            </w:pPr>
            <w:r>
              <w:rPr>
                <w:rFonts w:ascii="Calibri" w:hAnsi="Calibri" w:cs="Calibri"/>
              </w:rPr>
              <w:t>Total</w:t>
            </w:r>
          </w:p>
        </w:tc>
        <w:tc>
          <w:tcPr>
            <w:tcW w:w="1418" w:type="dxa"/>
            <w:tcBorders>
              <w:top w:val="nil"/>
              <w:left w:val="single" w:sz="4" w:space="0" w:color="auto"/>
              <w:bottom w:val="single" w:sz="4" w:space="0" w:color="auto"/>
              <w:right w:val="single" w:sz="4" w:space="0" w:color="auto"/>
            </w:tcBorders>
            <w:shd w:val="clear" w:color="auto" w:fill="F2F2F2"/>
            <w:noWrap/>
            <w:vAlign w:val="bottom"/>
          </w:tcPr>
          <w:p w:rsidR="00A83B67" w:rsidRDefault="00A83B67">
            <w:pPr>
              <w:jc w:val="right"/>
              <w:rPr>
                <w:rFonts w:ascii="Calibri" w:hAnsi="Calibri" w:cs="Calibri"/>
              </w:rPr>
            </w:pPr>
            <w:r>
              <w:rPr>
                <w:rFonts w:ascii="Calibri" w:hAnsi="Calibri" w:cs="Calibri"/>
              </w:rPr>
              <w:t>28</w:t>
            </w:r>
          </w:p>
        </w:tc>
      </w:tr>
    </w:tbl>
    <w:p w:rsidR="00A83B67" w:rsidRDefault="00A83B67">
      <w:pPr>
        <w:rPr>
          <w:rFonts w:ascii="Calibri" w:hAnsi="Calibri" w:cs="Calibri"/>
          <w:b/>
          <w:bCs/>
        </w:rPr>
      </w:pPr>
    </w:p>
    <w:p w:rsidR="00A83B67" w:rsidRDefault="00A83B67">
      <w:pPr>
        <w:rPr>
          <w:rFonts w:ascii="Calibri" w:hAnsi="Calibri" w:cs="Calibri"/>
          <w:b/>
          <w:bCs/>
        </w:rPr>
      </w:pPr>
      <w:r>
        <w:rPr>
          <w:rFonts w:ascii="Calibri" w:hAnsi="Calibri" w:cs="Calibri"/>
          <w:b/>
          <w:bCs/>
        </w:rPr>
        <w:t>Family</w:t>
      </w:r>
    </w:p>
    <w:p w:rsidR="00A83B67" w:rsidRDefault="00A83B67">
      <w:pPr>
        <w:rPr>
          <w:rFonts w:ascii="Calibri" w:hAnsi="Calibri" w:cs="Calibri"/>
          <w:b/>
          <w:bCs/>
          <w:sz w:val="28"/>
          <w:szCs w:val="28"/>
        </w:rPr>
      </w:pPr>
      <w:r>
        <w:rPr>
          <w:rFonts w:ascii="Calibri" w:hAnsi="Calibri" w:cs="Calibri"/>
        </w:rPr>
        <w:t xml:space="preserve">Respondents were asked to indicate whether or not they or another member of their household had family connections to Melbourn parish. Eighteen stated that they have a family connection to the parish. In most cases (13), this was their parent(s) already living in the village. </w:t>
      </w:r>
    </w:p>
    <w:p w:rsidR="00A83B67" w:rsidRDefault="00A83B67">
      <w:pPr>
        <w:rPr>
          <w:rFonts w:ascii="Calibri" w:hAnsi="Calibri" w:cs="Calibri"/>
          <w:b/>
          <w:bCs/>
        </w:rPr>
      </w:pPr>
    </w:p>
    <w:p w:rsidR="00A83B67" w:rsidRDefault="00A83B67">
      <w:pPr>
        <w:pStyle w:val="Heading5"/>
        <w:rPr>
          <w:rFonts w:ascii="Calibri" w:hAnsi="Calibri" w:cs="Calibri"/>
          <w:color w:val="480B80"/>
          <w:sz w:val="28"/>
          <w:szCs w:val="28"/>
          <w:u w:val="none"/>
        </w:rPr>
      </w:pPr>
      <w:r>
        <w:rPr>
          <w:rFonts w:ascii="Calibri" w:hAnsi="Calibri" w:cs="Calibri"/>
          <w:color w:val="480B80"/>
          <w:sz w:val="28"/>
          <w:szCs w:val="28"/>
          <w:u w:val="none"/>
        </w:rPr>
        <w:t>Household Composition</w:t>
      </w:r>
    </w:p>
    <w:p w:rsidR="00A83B67" w:rsidRDefault="00A83B67">
      <w:pPr>
        <w:rPr>
          <w:rFonts w:ascii="Calibri" w:hAnsi="Calibri" w:cs="Calibri"/>
          <w:b/>
          <w:bCs/>
        </w:rPr>
      </w:pPr>
    </w:p>
    <w:p w:rsidR="00A83B67" w:rsidRDefault="00A83B67">
      <w:pPr>
        <w:rPr>
          <w:rFonts w:ascii="Calibri" w:hAnsi="Calibri" w:cs="Calibri"/>
        </w:rPr>
      </w:pPr>
      <w:r>
        <w:rPr>
          <w:rFonts w:ascii="Calibri" w:hAnsi="Calibri" w:cs="Calibri"/>
        </w:rPr>
        <w:t>The survey sought to understand the gender, age and status of those who might potentially live in any affordable housing built as a result of this survey.</w:t>
      </w:r>
    </w:p>
    <w:p w:rsidR="00A83B67" w:rsidRDefault="00A83B67">
      <w:pPr>
        <w:rPr>
          <w:rFonts w:ascii="Calibri" w:hAnsi="Calibri" w:cs="Calibri"/>
        </w:rPr>
      </w:pPr>
    </w:p>
    <w:p w:rsidR="00A83B67" w:rsidRDefault="00A83B67">
      <w:pPr>
        <w:pStyle w:val="Heading2"/>
        <w:rPr>
          <w:rFonts w:ascii="Calibri" w:hAnsi="Calibri" w:cs="Calibri"/>
          <w:sz w:val="24"/>
          <w:szCs w:val="24"/>
        </w:rPr>
      </w:pPr>
      <w:r>
        <w:rPr>
          <w:rFonts w:ascii="Calibri" w:hAnsi="Calibri" w:cs="Calibri"/>
          <w:sz w:val="24"/>
          <w:szCs w:val="24"/>
        </w:rPr>
        <w:t>Number of people who will make up the household</w:t>
      </w:r>
    </w:p>
    <w:p w:rsidR="00A83B67" w:rsidRDefault="00A83B67">
      <w:pPr>
        <w:pStyle w:val="BodyText"/>
        <w:rPr>
          <w:rFonts w:ascii="Calibri" w:hAnsi="Calibri" w:cs="Calibri"/>
          <w:sz w:val="24"/>
          <w:szCs w:val="24"/>
        </w:rPr>
      </w:pPr>
      <w:r>
        <w:rPr>
          <w:rFonts w:ascii="Calibri" w:hAnsi="Calibri" w:cs="Calibri"/>
          <w:sz w:val="24"/>
          <w:szCs w:val="24"/>
        </w:rPr>
        <w:t>Table 6 sets out the number of people making up each household. Of those seeking a new property, the majority would be smaller households of 1 – 2 people.</w:t>
      </w:r>
    </w:p>
    <w:p w:rsidR="00A83B67" w:rsidRDefault="00A83B67">
      <w:pPr>
        <w:rPr>
          <w:rFonts w:ascii="Calibri" w:hAnsi="Calibri" w:cs="Calibri"/>
          <w:i/>
          <w:iCs/>
        </w:rPr>
      </w:pPr>
    </w:p>
    <w:p w:rsidR="00A83B67" w:rsidRDefault="00A83B67">
      <w:pPr>
        <w:pStyle w:val="Heading4"/>
        <w:rPr>
          <w:rFonts w:ascii="Calibri" w:hAnsi="Calibri" w:cs="Calibri"/>
          <w:sz w:val="24"/>
          <w:szCs w:val="24"/>
          <w:u w:val="none"/>
        </w:rPr>
      </w:pPr>
      <w:r>
        <w:rPr>
          <w:rFonts w:ascii="Calibri" w:hAnsi="Calibri" w:cs="Calibri"/>
          <w:sz w:val="24"/>
          <w:szCs w:val="24"/>
          <w:u w:val="none"/>
        </w:rPr>
        <w:t>Table 6: Number of people in the household</w:t>
      </w:r>
    </w:p>
    <w:p w:rsidR="00A83B67" w:rsidRDefault="00A83B67">
      <w:pPr>
        <w:rPr>
          <w:rFonts w:ascii="Calibri" w:hAnsi="Calibri" w:cs="Calibri"/>
          <w:b/>
          <w:bCs/>
        </w:rPr>
      </w:pPr>
    </w:p>
    <w:tbl>
      <w:tblPr>
        <w:tblW w:w="5103" w:type="dxa"/>
        <w:tblInd w:w="2" w:type="dxa"/>
        <w:tblCellMar>
          <w:left w:w="113" w:type="dxa"/>
          <w:right w:w="113" w:type="dxa"/>
        </w:tblCellMar>
        <w:tblLook w:val="0000"/>
      </w:tblPr>
      <w:tblGrid>
        <w:gridCol w:w="1701"/>
        <w:gridCol w:w="1701"/>
        <w:gridCol w:w="1701"/>
      </w:tblGrid>
      <w:tr w:rsidR="00A83B67">
        <w:tc>
          <w:tcPr>
            <w:tcW w:w="1701" w:type="dxa"/>
            <w:tcBorders>
              <w:top w:val="single" w:sz="4" w:space="0" w:color="auto"/>
              <w:left w:val="single" w:sz="4" w:space="0" w:color="auto"/>
              <w:bottom w:val="single" w:sz="4" w:space="0" w:color="auto"/>
              <w:right w:val="nil"/>
            </w:tcBorders>
            <w:shd w:val="clear" w:color="auto" w:fill="480B80"/>
            <w:vAlign w:val="center"/>
          </w:tcPr>
          <w:p w:rsidR="00A83B67" w:rsidRDefault="00A83B67">
            <w:pPr>
              <w:rPr>
                <w:rFonts w:ascii="Calibri" w:eastAsia="Arial Unicode MS" w:hAnsi="Calibri" w:cs="Times New Roman"/>
                <w:b/>
                <w:bCs/>
                <w:color w:val="FFFFFF"/>
              </w:rPr>
            </w:pPr>
          </w:p>
        </w:tc>
        <w:tc>
          <w:tcPr>
            <w:tcW w:w="1701"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A83B67" w:rsidRDefault="00A83B67">
            <w:pPr>
              <w:jc w:val="right"/>
              <w:rPr>
                <w:rFonts w:ascii="Calibri" w:eastAsia="Arial Unicode MS" w:hAnsi="Calibri" w:cs="Times New Roman"/>
                <w:color w:val="FFFFFF"/>
              </w:rPr>
            </w:pPr>
            <w:r>
              <w:rPr>
                <w:rFonts w:ascii="Calibri" w:hAnsi="Calibri" w:cs="Calibri"/>
                <w:color w:val="FFFFFF"/>
              </w:rPr>
              <w:t>Frequency</w:t>
            </w:r>
          </w:p>
        </w:tc>
        <w:tc>
          <w:tcPr>
            <w:tcW w:w="1701" w:type="dxa"/>
            <w:tcBorders>
              <w:top w:val="single" w:sz="4" w:space="0" w:color="auto"/>
              <w:left w:val="single" w:sz="4" w:space="0" w:color="auto"/>
              <w:bottom w:val="single" w:sz="4" w:space="0" w:color="auto"/>
              <w:right w:val="single" w:sz="4" w:space="0" w:color="auto"/>
            </w:tcBorders>
            <w:shd w:val="clear" w:color="auto" w:fill="480B80"/>
          </w:tcPr>
          <w:p w:rsidR="00A83B67" w:rsidRDefault="00A83B67">
            <w:pPr>
              <w:jc w:val="right"/>
              <w:rPr>
                <w:rFonts w:ascii="Calibri" w:hAnsi="Calibri" w:cs="Calibri"/>
                <w:color w:val="FFFFFF"/>
              </w:rPr>
            </w:pPr>
            <w:r>
              <w:rPr>
                <w:rFonts w:ascii="Calibri" w:hAnsi="Calibri" w:cs="Calibri"/>
                <w:color w:val="FFFFFF"/>
              </w:rPr>
              <w:t>No of people</w:t>
            </w:r>
          </w:p>
        </w:tc>
      </w:tr>
      <w:tr w:rsidR="00A83B67">
        <w:trPr>
          <w:trHeight w:val="255"/>
        </w:trPr>
        <w:tc>
          <w:tcPr>
            <w:tcW w:w="1701" w:type="dxa"/>
            <w:tcBorders>
              <w:top w:val="single" w:sz="4" w:space="0" w:color="auto"/>
              <w:left w:val="single" w:sz="4" w:space="0" w:color="auto"/>
              <w:bottom w:val="nil"/>
              <w:right w:val="nil"/>
            </w:tcBorders>
            <w:vAlign w:val="bottom"/>
          </w:tcPr>
          <w:p w:rsidR="00A83B67" w:rsidRDefault="00A83B67">
            <w:pPr>
              <w:rPr>
                <w:rFonts w:ascii="Calibri" w:hAnsi="Calibri" w:cs="Calibri"/>
              </w:rPr>
            </w:pPr>
            <w:r>
              <w:rPr>
                <w:rFonts w:ascii="Calibri" w:hAnsi="Calibri" w:cs="Calibri"/>
              </w:rPr>
              <w:t>1 person</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eastAsia="Arial Unicode MS" w:hAnsi="Calibri" w:cs="Calibri"/>
              </w:rPr>
            </w:pPr>
            <w:r>
              <w:rPr>
                <w:rFonts w:ascii="Calibri" w:eastAsia="Arial Unicode MS" w:hAnsi="Calibri" w:cs="Calibri"/>
              </w:rPr>
              <w:t>9</w:t>
            </w:r>
          </w:p>
        </w:tc>
        <w:tc>
          <w:tcPr>
            <w:tcW w:w="1701" w:type="dxa"/>
            <w:tcBorders>
              <w:top w:val="nil"/>
              <w:left w:val="single" w:sz="4" w:space="0" w:color="auto"/>
              <w:bottom w:val="nil"/>
              <w:right w:val="single" w:sz="4" w:space="0" w:color="auto"/>
            </w:tcBorders>
            <w:vAlign w:val="bottom"/>
          </w:tcPr>
          <w:p w:rsidR="00A83B67" w:rsidRDefault="00A83B67">
            <w:pPr>
              <w:jc w:val="right"/>
              <w:rPr>
                <w:rFonts w:ascii="Calibri" w:eastAsia="Arial Unicode MS" w:hAnsi="Calibri" w:cs="Calibri"/>
              </w:rPr>
            </w:pPr>
            <w:r>
              <w:rPr>
                <w:rFonts w:ascii="Calibri" w:eastAsia="Arial Unicode MS" w:hAnsi="Calibri" w:cs="Calibri"/>
              </w:rPr>
              <w:t>9</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2 people</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eastAsia="Arial Unicode MS" w:hAnsi="Calibri" w:cs="Calibri"/>
              </w:rPr>
            </w:pPr>
            <w:r>
              <w:rPr>
                <w:rFonts w:ascii="Calibri" w:eastAsia="Arial Unicode MS" w:hAnsi="Calibri" w:cs="Calibri"/>
              </w:rPr>
              <w:t>11</w:t>
            </w:r>
          </w:p>
        </w:tc>
        <w:tc>
          <w:tcPr>
            <w:tcW w:w="1701" w:type="dxa"/>
            <w:tcBorders>
              <w:top w:val="nil"/>
              <w:left w:val="single" w:sz="4" w:space="0" w:color="auto"/>
              <w:bottom w:val="nil"/>
              <w:right w:val="single" w:sz="4" w:space="0" w:color="auto"/>
            </w:tcBorders>
            <w:vAlign w:val="bottom"/>
          </w:tcPr>
          <w:p w:rsidR="00A83B67" w:rsidRDefault="00A83B67">
            <w:pPr>
              <w:jc w:val="right"/>
              <w:rPr>
                <w:rFonts w:ascii="Calibri" w:eastAsia="Arial Unicode MS" w:hAnsi="Calibri" w:cs="Calibri"/>
              </w:rPr>
            </w:pPr>
            <w:r>
              <w:rPr>
                <w:rFonts w:ascii="Calibri" w:eastAsia="Arial Unicode MS" w:hAnsi="Calibri" w:cs="Calibri"/>
              </w:rPr>
              <w:t>22</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3 people</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eastAsia="Arial Unicode MS" w:hAnsi="Calibri" w:cs="Calibri"/>
              </w:rPr>
            </w:pPr>
            <w:r>
              <w:rPr>
                <w:rFonts w:ascii="Calibri" w:eastAsia="Arial Unicode MS" w:hAnsi="Calibri" w:cs="Calibri"/>
              </w:rPr>
              <w:t>4</w:t>
            </w:r>
          </w:p>
        </w:tc>
        <w:tc>
          <w:tcPr>
            <w:tcW w:w="1701" w:type="dxa"/>
            <w:tcBorders>
              <w:top w:val="nil"/>
              <w:left w:val="single" w:sz="4" w:space="0" w:color="auto"/>
              <w:bottom w:val="nil"/>
              <w:right w:val="single" w:sz="4" w:space="0" w:color="auto"/>
            </w:tcBorders>
            <w:vAlign w:val="bottom"/>
          </w:tcPr>
          <w:p w:rsidR="00A83B67" w:rsidRDefault="00A83B67">
            <w:pPr>
              <w:jc w:val="right"/>
              <w:rPr>
                <w:rFonts w:ascii="Calibri" w:eastAsia="Arial Unicode MS" w:hAnsi="Calibri" w:cs="Calibri"/>
              </w:rPr>
            </w:pPr>
            <w:r>
              <w:rPr>
                <w:rFonts w:ascii="Calibri" w:eastAsia="Arial Unicode MS" w:hAnsi="Calibri" w:cs="Calibri"/>
              </w:rPr>
              <w:t>12</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4 people</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eastAsia="Arial Unicode MS" w:hAnsi="Calibri" w:cs="Calibri"/>
              </w:rPr>
            </w:pPr>
            <w:r>
              <w:rPr>
                <w:rFonts w:ascii="Calibri" w:eastAsia="Arial Unicode MS" w:hAnsi="Calibri" w:cs="Calibri"/>
              </w:rPr>
              <w:t>3</w:t>
            </w:r>
          </w:p>
        </w:tc>
        <w:tc>
          <w:tcPr>
            <w:tcW w:w="1701" w:type="dxa"/>
            <w:tcBorders>
              <w:top w:val="nil"/>
              <w:left w:val="single" w:sz="4" w:space="0" w:color="auto"/>
              <w:bottom w:val="nil"/>
              <w:right w:val="single" w:sz="4" w:space="0" w:color="auto"/>
            </w:tcBorders>
            <w:vAlign w:val="bottom"/>
          </w:tcPr>
          <w:p w:rsidR="00A83B67" w:rsidRDefault="00A83B67">
            <w:pPr>
              <w:jc w:val="right"/>
              <w:rPr>
                <w:rFonts w:ascii="Calibri" w:eastAsia="Arial Unicode MS" w:hAnsi="Calibri" w:cs="Calibri"/>
              </w:rPr>
            </w:pPr>
            <w:r>
              <w:rPr>
                <w:rFonts w:ascii="Calibri" w:eastAsia="Arial Unicode MS" w:hAnsi="Calibri" w:cs="Calibri"/>
              </w:rPr>
              <w:t>12</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5 people</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eastAsia="Arial Unicode MS" w:hAnsi="Calibri" w:cs="Calibri"/>
              </w:rPr>
            </w:pPr>
            <w:r>
              <w:rPr>
                <w:rFonts w:ascii="Calibri" w:eastAsia="Arial Unicode MS" w:hAnsi="Calibri" w:cs="Calibri"/>
              </w:rPr>
              <w:t>2</w:t>
            </w:r>
          </w:p>
        </w:tc>
        <w:tc>
          <w:tcPr>
            <w:tcW w:w="1701" w:type="dxa"/>
            <w:tcBorders>
              <w:top w:val="nil"/>
              <w:left w:val="single" w:sz="4" w:space="0" w:color="auto"/>
              <w:bottom w:val="nil"/>
              <w:right w:val="single" w:sz="4" w:space="0" w:color="auto"/>
            </w:tcBorders>
            <w:vAlign w:val="bottom"/>
          </w:tcPr>
          <w:p w:rsidR="00A83B67" w:rsidRDefault="00A83B67">
            <w:pPr>
              <w:jc w:val="right"/>
              <w:rPr>
                <w:rFonts w:ascii="Calibri" w:eastAsia="Arial Unicode MS" w:hAnsi="Calibri" w:cs="Calibri"/>
              </w:rPr>
            </w:pPr>
            <w:r>
              <w:rPr>
                <w:rFonts w:ascii="Calibri" w:eastAsia="Arial Unicode MS" w:hAnsi="Calibri" w:cs="Calibri"/>
              </w:rPr>
              <w:t>10</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6 people</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eastAsia="Arial Unicode MS" w:hAnsi="Calibri" w:cs="Calibri"/>
              </w:rPr>
            </w:pPr>
            <w:r>
              <w:rPr>
                <w:rFonts w:ascii="Calibri" w:eastAsia="Arial Unicode MS" w:hAnsi="Calibri" w:cs="Calibri"/>
              </w:rPr>
              <w:t>0</w:t>
            </w:r>
          </w:p>
        </w:tc>
        <w:tc>
          <w:tcPr>
            <w:tcW w:w="1701" w:type="dxa"/>
            <w:tcBorders>
              <w:top w:val="nil"/>
              <w:left w:val="single" w:sz="4" w:space="0" w:color="auto"/>
              <w:bottom w:val="nil"/>
              <w:right w:val="single" w:sz="4" w:space="0" w:color="auto"/>
            </w:tcBorders>
            <w:vAlign w:val="bottom"/>
          </w:tcPr>
          <w:p w:rsidR="00A83B67" w:rsidRDefault="00A83B67">
            <w:pPr>
              <w:jc w:val="right"/>
              <w:rPr>
                <w:rFonts w:ascii="Calibri" w:eastAsia="Arial Unicode MS" w:hAnsi="Calibri" w:cs="Calibri"/>
              </w:rPr>
            </w:pPr>
            <w:r>
              <w:rPr>
                <w:rFonts w:ascii="Calibri" w:eastAsia="Arial Unicode MS" w:hAnsi="Calibri" w:cs="Calibri"/>
              </w:rPr>
              <w:t>0</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7 people</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eastAsia="Arial Unicode MS" w:hAnsi="Calibri" w:cs="Calibri"/>
              </w:rPr>
            </w:pPr>
            <w:r>
              <w:rPr>
                <w:rFonts w:ascii="Calibri" w:eastAsia="Arial Unicode MS" w:hAnsi="Calibri" w:cs="Calibri"/>
              </w:rPr>
              <w:t>0</w:t>
            </w:r>
          </w:p>
        </w:tc>
        <w:tc>
          <w:tcPr>
            <w:tcW w:w="1701" w:type="dxa"/>
            <w:tcBorders>
              <w:top w:val="nil"/>
              <w:left w:val="single" w:sz="4" w:space="0" w:color="auto"/>
              <w:bottom w:val="nil"/>
              <w:right w:val="single" w:sz="4" w:space="0" w:color="auto"/>
            </w:tcBorders>
            <w:vAlign w:val="bottom"/>
          </w:tcPr>
          <w:p w:rsidR="00A83B67" w:rsidRDefault="00A83B67">
            <w:pPr>
              <w:jc w:val="right"/>
              <w:rPr>
                <w:rFonts w:ascii="Calibri" w:eastAsia="Arial Unicode MS" w:hAnsi="Calibri" w:cs="Calibri"/>
              </w:rPr>
            </w:pPr>
            <w:r>
              <w:rPr>
                <w:rFonts w:ascii="Calibri" w:eastAsia="Arial Unicode MS" w:hAnsi="Calibri" w:cs="Calibri"/>
              </w:rPr>
              <w:t>0</w:t>
            </w:r>
          </w:p>
        </w:tc>
      </w:tr>
      <w:tr w:rsidR="00A83B67">
        <w:trPr>
          <w:trHeight w:val="255"/>
        </w:trPr>
        <w:tc>
          <w:tcPr>
            <w:tcW w:w="1701" w:type="dxa"/>
            <w:tcBorders>
              <w:top w:val="nil"/>
              <w:left w:val="single" w:sz="4" w:space="0" w:color="auto"/>
              <w:bottom w:val="single" w:sz="4" w:space="0" w:color="auto"/>
              <w:right w:val="nil"/>
            </w:tcBorders>
            <w:shd w:val="clear" w:color="auto" w:fill="F2F2F2"/>
            <w:vAlign w:val="bottom"/>
          </w:tcPr>
          <w:p w:rsidR="00A83B67" w:rsidRDefault="00A83B67">
            <w:pPr>
              <w:rPr>
                <w:rFonts w:ascii="Calibri" w:hAnsi="Calibri" w:cs="Calibri"/>
              </w:rPr>
            </w:pPr>
            <w:r>
              <w:rPr>
                <w:rFonts w:ascii="Calibri" w:hAnsi="Calibri" w:cs="Calibri"/>
              </w:rPr>
              <w:t>Total</w:t>
            </w:r>
          </w:p>
        </w:tc>
        <w:tc>
          <w:tcPr>
            <w:tcW w:w="1701" w:type="dxa"/>
            <w:tcBorders>
              <w:top w:val="nil"/>
              <w:left w:val="single" w:sz="4" w:space="0" w:color="auto"/>
              <w:bottom w:val="single" w:sz="4" w:space="0" w:color="auto"/>
              <w:right w:val="single" w:sz="4" w:space="0" w:color="auto"/>
            </w:tcBorders>
            <w:shd w:val="clear" w:color="auto" w:fill="F2F2F2"/>
            <w:noWrap/>
            <w:vAlign w:val="bottom"/>
          </w:tcPr>
          <w:p w:rsidR="00A83B67" w:rsidRDefault="00A83B67">
            <w:pPr>
              <w:jc w:val="right"/>
              <w:rPr>
                <w:rFonts w:ascii="Calibri" w:eastAsia="Arial Unicode MS" w:hAnsi="Calibri" w:cs="Calibri"/>
              </w:rPr>
            </w:pPr>
            <w:r>
              <w:rPr>
                <w:rFonts w:ascii="Calibri" w:eastAsia="Arial Unicode MS" w:hAnsi="Calibri" w:cs="Calibri"/>
              </w:rPr>
              <w:t>29 households</w:t>
            </w:r>
          </w:p>
        </w:tc>
        <w:tc>
          <w:tcPr>
            <w:tcW w:w="1701" w:type="dxa"/>
            <w:tcBorders>
              <w:top w:val="nil"/>
              <w:left w:val="single" w:sz="4" w:space="0" w:color="auto"/>
              <w:bottom w:val="single" w:sz="4" w:space="0" w:color="auto"/>
              <w:right w:val="single" w:sz="4" w:space="0" w:color="auto"/>
            </w:tcBorders>
            <w:shd w:val="clear" w:color="auto" w:fill="F2F2F2"/>
          </w:tcPr>
          <w:p w:rsidR="00A83B67" w:rsidRDefault="00A83B67">
            <w:pPr>
              <w:jc w:val="right"/>
              <w:rPr>
                <w:rFonts w:ascii="Calibri" w:eastAsia="Arial Unicode MS" w:hAnsi="Calibri" w:cs="Calibri"/>
              </w:rPr>
            </w:pPr>
            <w:r>
              <w:rPr>
                <w:rFonts w:ascii="Calibri" w:eastAsia="Arial Unicode MS" w:hAnsi="Calibri" w:cs="Calibri"/>
              </w:rPr>
              <w:t>65 people</w:t>
            </w:r>
          </w:p>
        </w:tc>
      </w:tr>
    </w:tbl>
    <w:p w:rsidR="00A83B67" w:rsidRDefault="00A83B67">
      <w:pPr>
        <w:pStyle w:val="Heading2"/>
        <w:rPr>
          <w:rFonts w:ascii="Calibri" w:hAnsi="Calibri" w:cs="Calibri"/>
          <w:sz w:val="24"/>
          <w:szCs w:val="24"/>
        </w:rPr>
      </w:pPr>
    </w:p>
    <w:p w:rsidR="00A83B67" w:rsidRDefault="00A83B67">
      <w:pPr>
        <w:pStyle w:val="Heading2"/>
        <w:rPr>
          <w:rFonts w:ascii="Calibri" w:hAnsi="Calibri" w:cs="Calibri"/>
          <w:sz w:val="24"/>
          <w:szCs w:val="24"/>
        </w:rPr>
      </w:pPr>
      <w:r>
        <w:rPr>
          <w:rFonts w:ascii="Calibri" w:hAnsi="Calibri" w:cs="Calibri"/>
          <w:sz w:val="24"/>
          <w:szCs w:val="24"/>
        </w:rPr>
        <w:t>Gender</w:t>
      </w:r>
    </w:p>
    <w:p w:rsidR="00A83B67" w:rsidRDefault="00A83B67">
      <w:pPr>
        <w:rPr>
          <w:rFonts w:ascii="Calibri" w:hAnsi="Calibri" w:cs="Calibri"/>
        </w:rPr>
      </w:pPr>
      <w:r>
        <w:rPr>
          <w:rFonts w:ascii="Calibri" w:hAnsi="Calibri" w:cs="Calibri"/>
        </w:rPr>
        <w:t>Respondents were asked to identify the gender of those people who would make up their household. Table 7 captures the results.</w:t>
      </w:r>
    </w:p>
    <w:p w:rsidR="00A83B67" w:rsidRDefault="00A83B67">
      <w:pPr>
        <w:rPr>
          <w:rFonts w:ascii="Calibri" w:hAnsi="Calibri" w:cs="Calibri"/>
          <w:b/>
          <w:bCs/>
        </w:rPr>
      </w:pPr>
    </w:p>
    <w:p w:rsidR="00A83B67" w:rsidRDefault="00A83B67">
      <w:pPr>
        <w:rPr>
          <w:rFonts w:ascii="Calibri" w:hAnsi="Calibri" w:cs="Calibri"/>
          <w:i/>
          <w:iCs/>
        </w:rPr>
      </w:pPr>
      <w:r>
        <w:rPr>
          <w:rFonts w:ascii="Calibri" w:hAnsi="Calibri" w:cs="Calibri"/>
          <w:i/>
          <w:iCs/>
        </w:rPr>
        <w:t>Table 7: Gender profile of residents</w:t>
      </w:r>
    </w:p>
    <w:p w:rsidR="00A83B67" w:rsidRDefault="00A83B67">
      <w:pPr>
        <w:rPr>
          <w:rFonts w:ascii="Calibri" w:hAnsi="Calibri" w:cs="Calibri"/>
          <w:b/>
          <w:bCs/>
        </w:rPr>
      </w:pPr>
    </w:p>
    <w:tbl>
      <w:tblPr>
        <w:tblW w:w="3402" w:type="dxa"/>
        <w:tblInd w:w="2" w:type="dxa"/>
        <w:tblCellMar>
          <w:left w:w="113" w:type="dxa"/>
          <w:right w:w="113" w:type="dxa"/>
        </w:tblCellMar>
        <w:tblLook w:val="0000"/>
      </w:tblPr>
      <w:tblGrid>
        <w:gridCol w:w="1701"/>
        <w:gridCol w:w="1701"/>
      </w:tblGrid>
      <w:tr w:rsidR="00A83B67">
        <w:tc>
          <w:tcPr>
            <w:tcW w:w="1701" w:type="dxa"/>
            <w:tcBorders>
              <w:top w:val="single" w:sz="4" w:space="0" w:color="auto"/>
              <w:left w:val="single" w:sz="4" w:space="0" w:color="auto"/>
              <w:bottom w:val="single" w:sz="4" w:space="0" w:color="auto"/>
              <w:right w:val="nil"/>
            </w:tcBorders>
            <w:shd w:val="clear" w:color="auto" w:fill="480B80"/>
            <w:vAlign w:val="center"/>
          </w:tcPr>
          <w:p w:rsidR="00A83B67" w:rsidRDefault="00A83B67">
            <w:pPr>
              <w:rPr>
                <w:rFonts w:ascii="Calibri" w:eastAsia="Arial Unicode MS" w:hAnsi="Calibri" w:cs="Times New Roman"/>
                <w:b/>
                <w:bCs/>
                <w:color w:val="FFFFFF"/>
              </w:rPr>
            </w:pPr>
          </w:p>
        </w:tc>
        <w:tc>
          <w:tcPr>
            <w:tcW w:w="1701"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A83B67" w:rsidRDefault="00A83B67">
            <w:pPr>
              <w:jc w:val="right"/>
              <w:rPr>
                <w:rFonts w:ascii="Calibri" w:eastAsia="Arial Unicode MS" w:hAnsi="Calibri" w:cs="Times New Roman"/>
                <w:color w:val="FFFFFF"/>
              </w:rPr>
            </w:pPr>
            <w:r>
              <w:rPr>
                <w:rFonts w:ascii="Calibri" w:hAnsi="Calibri" w:cs="Calibri"/>
                <w:color w:val="FFFFFF"/>
              </w:rPr>
              <w:t>Frequency</w:t>
            </w:r>
          </w:p>
        </w:tc>
      </w:tr>
      <w:tr w:rsidR="00A83B67">
        <w:trPr>
          <w:trHeight w:val="255"/>
        </w:trPr>
        <w:tc>
          <w:tcPr>
            <w:tcW w:w="1701" w:type="dxa"/>
            <w:tcBorders>
              <w:top w:val="single" w:sz="4" w:space="0" w:color="auto"/>
              <w:left w:val="single" w:sz="4" w:space="0" w:color="auto"/>
              <w:bottom w:val="nil"/>
              <w:right w:val="nil"/>
            </w:tcBorders>
            <w:vAlign w:val="bottom"/>
          </w:tcPr>
          <w:p w:rsidR="00A83B67" w:rsidRDefault="00A83B67">
            <w:pPr>
              <w:rPr>
                <w:rFonts w:ascii="Calibri" w:hAnsi="Calibri" w:cs="Calibri"/>
              </w:rPr>
            </w:pPr>
            <w:r>
              <w:rPr>
                <w:rFonts w:ascii="Calibri" w:hAnsi="Calibri" w:cs="Calibri"/>
              </w:rPr>
              <w:t>Male</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33</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Female</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32</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Not stated</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0</w:t>
            </w:r>
          </w:p>
        </w:tc>
      </w:tr>
      <w:tr w:rsidR="00A83B67">
        <w:trPr>
          <w:trHeight w:val="255"/>
        </w:trPr>
        <w:tc>
          <w:tcPr>
            <w:tcW w:w="1701" w:type="dxa"/>
            <w:tcBorders>
              <w:top w:val="nil"/>
              <w:left w:val="single" w:sz="4" w:space="0" w:color="auto"/>
              <w:bottom w:val="single" w:sz="4" w:space="0" w:color="auto"/>
              <w:right w:val="nil"/>
            </w:tcBorders>
            <w:shd w:val="clear" w:color="auto" w:fill="F2F2F2"/>
            <w:vAlign w:val="bottom"/>
          </w:tcPr>
          <w:p w:rsidR="00A83B67" w:rsidRDefault="00A83B67">
            <w:pPr>
              <w:rPr>
                <w:rFonts w:ascii="Calibri" w:hAnsi="Calibri" w:cs="Calibri"/>
              </w:rPr>
            </w:pPr>
            <w:r>
              <w:rPr>
                <w:rFonts w:ascii="Calibri" w:hAnsi="Calibri" w:cs="Calibri"/>
              </w:rPr>
              <w:t>Total</w:t>
            </w:r>
          </w:p>
        </w:tc>
        <w:tc>
          <w:tcPr>
            <w:tcW w:w="1701" w:type="dxa"/>
            <w:tcBorders>
              <w:top w:val="nil"/>
              <w:left w:val="single" w:sz="4" w:space="0" w:color="auto"/>
              <w:bottom w:val="single" w:sz="4" w:space="0" w:color="auto"/>
              <w:right w:val="single" w:sz="4" w:space="0" w:color="auto"/>
            </w:tcBorders>
            <w:shd w:val="clear" w:color="auto" w:fill="F2F2F2"/>
            <w:noWrap/>
            <w:vAlign w:val="bottom"/>
          </w:tcPr>
          <w:p w:rsidR="00A83B67" w:rsidRDefault="00A83B67">
            <w:pPr>
              <w:jc w:val="right"/>
              <w:rPr>
                <w:rFonts w:ascii="Calibri" w:hAnsi="Calibri" w:cs="Calibri"/>
              </w:rPr>
            </w:pPr>
            <w:r>
              <w:rPr>
                <w:rFonts w:ascii="Calibri" w:hAnsi="Calibri" w:cs="Calibri"/>
              </w:rPr>
              <w:t>65 people</w:t>
            </w:r>
          </w:p>
        </w:tc>
      </w:tr>
    </w:tbl>
    <w:p w:rsidR="00A83B67" w:rsidRDefault="00A83B67">
      <w:pPr>
        <w:rPr>
          <w:rFonts w:cs="Times New Roman"/>
        </w:rPr>
      </w:pPr>
    </w:p>
    <w:p w:rsidR="00A83B67" w:rsidRDefault="00A83B67">
      <w:pPr>
        <w:pStyle w:val="Heading2"/>
        <w:rPr>
          <w:rFonts w:ascii="Calibri" w:hAnsi="Calibri" w:cs="Calibri"/>
          <w:sz w:val="24"/>
          <w:szCs w:val="24"/>
        </w:rPr>
      </w:pPr>
      <w:r>
        <w:rPr>
          <w:rFonts w:ascii="Calibri" w:hAnsi="Calibri" w:cs="Calibri"/>
          <w:sz w:val="24"/>
          <w:szCs w:val="24"/>
        </w:rPr>
        <w:t>Age</w:t>
      </w:r>
    </w:p>
    <w:p w:rsidR="00A83B67" w:rsidRDefault="00A83B67">
      <w:pPr>
        <w:rPr>
          <w:rFonts w:ascii="Calibri" w:hAnsi="Calibri" w:cs="Calibri"/>
        </w:rPr>
      </w:pPr>
      <w:r>
        <w:rPr>
          <w:rFonts w:ascii="Calibri" w:hAnsi="Calibri" w:cs="Calibri"/>
        </w:rPr>
        <w:t>Respondents were asked to identify the ages of those people who would make up their household. Table 8 captures the results.</w:t>
      </w:r>
    </w:p>
    <w:p w:rsidR="00A83B67" w:rsidRDefault="00A83B67">
      <w:pPr>
        <w:rPr>
          <w:rFonts w:ascii="Calibri" w:hAnsi="Calibri" w:cs="Calibri"/>
          <w:b/>
          <w:bCs/>
        </w:rPr>
      </w:pPr>
    </w:p>
    <w:p w:rsidR="00A83B67" w:rsidRDefault="00A83B67">
      <w:pPr>
        <w:rPr>
          <w:rFonts w:ascii="Calibri" w:hAnsi="Calibri" w:cs="Calibri"/>
          <w:i/>
          <w:iCs/>
        </w:rPr>
      </w:pPr>
      <w:r>
        <w:rPr>
          <w:rFonts w:ascii="Calibri" w:hAnsi="Calibri" w:cs="Calibri"/>
          <w:i/>
          <w:iCs/>
        </w:rPr>
        <w:br w:type="page"/>
      </w:r>
    </w:p>
    <w:p w:rsidR="00A83B67" w:rsidRDefault="00A83B67">
      <w:pPr>
        <w:rPr>
          <w:rFonts w:ascii="Calibri" w:hAnsi="Calibri" w:cs="Calibri"/>
          <w:i/>
          <w:iCs/>
        </w:rPr>
      </w:pPr>
      <w:r>
        <w:rPr>
          <w:rFonts w:ascii="Calibri" w:hAnsi="Calibri" w:cs="Calibri"/>
          <w:i/>
          <w:iCs/>
        </w:rPr>
        <w:t>Table 8: Age profile of residents</w:t>
      </w:r>
    </w:p>
    <w:p w:rsidR="00A83B67" w:rsidRDefault="00A83B67">
      <w:pPr>
        <w:rPr>
          <w:rFonts w:ascii="Calibri" w:hAnsi="Calibri" w:cs="Calibri"/>
          <w:b/>
          <w:bCs/>
        </w:rPr>
      </w:pPr>
    </w:p>
    <w:tbl>
      <w:tblPr>
        <w:tblW w:w="3402" w:type="dxa"/>
        <w:tblInd w:w="2" w:type="dxa"/>
        <w:tblCellMar>
          <w:left w:w="113" w:type="dxa"/>
          <w:right w:w="113" w:type="dxa"/>
        </w:tblCellMar>
        <w:tblLook w:val="0000"/>
      </w:tblPr>
      <w:tblGrid>
        <w:gridCol w:w="1701"/>
        <w:gridCol w:w="1701"/>
      </w:tblGrid>
      <w:tr w:rsidR="00A83B67">
        <w:tc>
          <w:tcPr>
            <w:tcW w:w="1701" w:type="dxa"/>
            <w:tcBorders>
              <w:top w:val="single" w:sz="4" w:space="0" w:color="auto"/>
              <w:left w:val="single" w:sz="4" w:space="0" w:color="auto"/>
              <w:bottom w:val="single" w:sz="4" w:space="0" w:color="auto"/>
              <w:right w:val="nil"/>
            </w:tcBorders>
            <w:shd w:val="clear" w:color="auto" w:fill="480B80"/>
            <w:vAlign w:val="center"/>
          </w:tcPr>
          <w:p w:rsidR="00A83B67" w:rsidRDefault="00A83B67">
            <w:pPr>
              <w:rPr>
                <w:rFonts w:ascii="Calibri" w:eastAsia="Arial Unicode MS" w:hAnsi="Calibri" w:cs="Times New Roman"/>
                <w:b/>
                <w:bCs/>
                <w:color w:val="FFFFFF"/>
              </w:rPr>
            </w:pPr>
          </w:p>
        </w:tc>
        <w:tc>
          <w:tcPr>
            <w:tcW w:w="1701"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A83B67" w:rsidRDefault="00A83B67">
            <w:pPr>
              <w:jc w:val="right"/>
              <w:rPr>
                <w:rFonts w:ascii="Calibri" w:eastAsia="Arial Unicode MS" w:hAnsi="Calibri" w:cs="Times New Roman"/>
                <w:color w:val="FFFFFF"/>
              </w:rPr>
            </w:pPr>
            <w:r>
              <w:rPr>
                <w:rFonts w:ascii="Calibri" w:hAnsi="Calibri" w:cs="Calibri"/>
                <w:color w:val="FFFFFF"/>
              </w:rPr>
              <w:t>Frequency</w:t>
            </w:r>
          </w:p>
        </w:tc>
      </w:tr>
      <w:tr w:rsidR="00A83B67">
        <w:trPr>
          <w:trHeight w:val="255"/>
        </w:trPr>
        <w:tc>
          <w:tcPr>
            <w:tcW w:w="1701" w:type="dxa"/>
            <w:tcBorders>
              <w:top w:val="single" w:sz="4" w:space="0" w:color="auto"/>
              <w:left w:val="single" w:sz="4" w:space="0" w:color="auto"/>
              <w:bottom w:val="nil"/>
              <w:right w:val="nil"/>
            </w:tcBorders>
            <w:vAlign w:val="bottom"/>
          </w:tcPr>
          <w:p w:rsidR="00A83B67" w:rsidRDefault="00A83B67">
            <w:pPr>
              <w:rPr>
                <w:rFonts w:ascii="Calibri" w:hAnsi="Calibri" w:cs="Calibri"/>
              </w:rPr>
            </w:pPr>
            <w:r>
              <w:rPr>
                <w:rFonts w:ascii="Calibri" w:hAnsi="Calibri" w:cs="Calibri"/>
              </w:rPr>
              <w:t>Under 16</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19</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16 - 24 years</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9</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25 - 29 years</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5</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30 - 39 years</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11</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40 - 49 years</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8</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50 - 54 years</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2</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55 - 59 years</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4</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60 - 64 years</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1</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Over 65 years</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3</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Not stated</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3</w:t>
            </w:r>
          </w:p>
        </w:tc>
      </w:tr>
      <w:tr w:rsidR="00A83B67">
        <w:trPr>
          <w:trHeight w:val="255"/>
        </w:trPr>
        <w:tc>
          <w:tcPr>
            <w:tcW w:w="1701" w:type="dxa"/>
            <w:tcBorders>
              <w:top w:val="nil"/>
              <w:left w:val="single" w:sz="4" w:space="0" w:color="auto"/>
              <w:bottom w:val="single" w:sz="4" w:space="0" w:color="auto"/>
              <w:right w:val="nil"/>
            </w:tcBorders>
            <w:shd w:val="clear" w:color="auto" w:fill="F2F2F2"/>
            <w:vAlign w:val="bottom"/>
          </w:tcPr>
          <w:p w:rsidR="00A83B67" w:rsidRDefault="00A83B67">
            <w:pPr>
              <w:rPr>
                <w:rFonts w:ascii="Calibri" w:hAnsi="Calibri" w:cs="Calibri"/>
              </w:rPr>
            </w:pPr>
            <w:r>
              <w:rPr>
                <w:rFonts w:ascii="Calibri" w:hAnsi="Calibri" w:cs="Calibri"/>
              </w:rPr>
              <w:t>Total</w:t>
            </w:r>
          </w:p>
        </w:tc>
        <w:tc>
          <w:tcPr>
            <w:tcW w:w="1701" w:type="dxa"/>
            <w:tcBorders>
              <w:top w:val="nil"/>
              <w:left w:val="single" w:sz="4" w:space="0" w:color="auto"/>
              <w:bottom w:val="single" w:sz="4" w:space="0" w:color="auto"/>
              <w:right w:val="single" w:sz="4" w:space="0" w:color="auto"/>
            </w:tcBorders>
            <w:shd w:val="clear" w:color="auto" w:fill="F2F2F2"/>
            <w:noWrap/>
            <w:vAlign w:val="bottom"/>
          </w:tcPr>
          <w:p w:rsidR="00A83B67" w:rsidRDefault="00A83B67">
            <w:pPr>
              <w:jc w:val="right"/>
              <w:rPr>
                <w:rFonts w:ascii="Calibri" w:hAnsi="Calibri" w:cs="Calibri"/>
              </w:rPr>
            </w:pPr>
            <w:r>
              <w:rPr>
                <w:rFonts w:ascii="Calibri" w:hAnsi="Calibri" w:cs="Calibri"/>
              </w:rPr>
              <w:t>65 people</w:t>
            </w:r>
          </w:p>
        </w:tc>
      </w:tr>
    </w:tbl>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These results indicate that the new properties would be occupied by people from both genders and all age ranges, with the majority being classed as ‘young families’. Over 40 % of residents would be aged under 25. A good balance of genders and ages is vital for a sustainable community as local services, such as shops, schools, village halls and sports facilities; all rely on varied user groups.</w:t>
      </w:r>
    </w:p>
    <w:p w:rsidR="00A83B67" w:rsidRDefault="00A83B67">
      <w:pPr>
        <w:rPr>
          <w:rFonts w:ascii="Calibri" w:hAnsi="Calibri" w:cs="Calibri"/>
          <w:b/>
          <w:bCs/>
        </w:rPr>
      </w:pPr>
    </w:p>
    <w:p w:rsidR="00A83B67" w:rsidRDefault="00A83B67">
      <w:pPr>
        <w:rPr>
          <w:rFonts w:ascii="Calibri" w:hAnsi="Calibri" w:cs="Calibri"/>
          <w:b/>
          <w:bCs/>
        </w:rPr>
      </w:pPr>
      <w:r>
        <w:rPr>
          <w:rFonts w:ascii="Calibri" w:hAnsi="Calibri" w:cs="Calibri"/>
          <w:b/>
          <w:bCs/>
        </w:rPr>
        <w:t>Status</w:t>
      </w:r>
    </w:p>
    <w:p w:rsidR="00A83B67" w:rsidRDefault="00A83B67">
      <w:pPr>
        <w:rPr>
          <w:rFonts w:ascii="Calibri" w:hAnsi="Calibri" w:cs="Calibri"/>
        </w:rPr>
      </w:pPr>
      <w:r>
        <w:rPr>
          <w:rFonts w:ascii="Calibri" w:hAnsi="Calibri" w:cs="Calibri"/>
        </w:rPr>
        <w:t>The survey sought to understand the employment status of those indicating a housing need. Table 9 outlines the results and shows that by far the largest proportion of those seeking a more affordable home are either in employment or are students/children (49 out of 65 people).</w:t>
      </w:r>
    </w:p>
    <w:p w:rsidR="00A83B67" w:rsidRDefault="00A83B67">
      <w:pPr>
        <w:rPr>
          <w:rFonts w:ascii="Calibri" w:hAnsi="Calibri" w:cs="Calibri"/>
          <w:i/>
          <w:iCs/>
        </w:rPr>
      </w:pPr>
    </w:p>
    <w:p w:rsidR="00A83B67" w:rsidRDefault="00A83B67">
      <w:pPr>
        <w:pStyle w:val="Heading4"/>
        <w:rPr>
          <w:rFonts w:ascii="Calibri" w:hAnsi="Calibri" w:cs="Calibri"/>
          <w:sz w:val="24"/>
          <w:szCs w:val="24"/>
          <w:u w:val="none"/>
        </w:rPr>
      </w:pPr>
      <w:r>
        <w:rPr>
          <w:rFonts w:ascii="Calibri" w:hAnsi="Calibri" w:cs="Calibri"/>
          <w:sz w:val="24"/>
          <w:szCs w:val="24"/>
          <w:u w:val="none"/>
        </w:rPr>
        <w:t>Table 9: Status of people in the household</w:t>
      </w:r>
    </w:p>
    <w:p w:rsidR="00A83B67" w:rsidRDefault="00A83B67">
      <w:pPr>
        <w:rPr>
          <w:rFonts w:ascii="Calibri" w:hAnsi="Calibri" w:cs="Calibri"/>
          <w:b/>
          <w:bCs/>
        </w:rPr>
      </w:pPr>
    </w:p>
    <w:tbl>
      <w:tblPr>
        <w:tblW w:w="3402" w:type="dxa"/>
        <w:tblInd w:w="2" w:type="dxa"/>
        <w:tblCellMar>
          <w:left w:w="113" w:type="dxa"/>
          <w:right w:w="113" w:type="dxa"/>
        </w:tblCellMar>
        <w:tblLook w:val="0000"/>
      </w:tblPr>
      <w:tblGrid>
        <w:gridCol w:w="1701"/>
        <w:gridCol w:w="1701"/>
      </w:tblGrid>
      <w:tr w:rsidR="00A83B67">
        <w:tc>
          <w:tcPr>
            <w:tcW w:w="1701" w:type="dxa"/>
            <w:tcBorders>
              <w:top w:val="single" w:sz="4" w:space="0" w:color="auto"/>
              <w:left w:val="single" w:sz="4" w:space="0" w:color="auto"/>
              <w:bottom w:val="single" w:sz="4" w:space="0" w:color="auto"/>
              <w:right w:val="nil"/>
            </w:tcBorders>
            <w:shd w:val="clear" w:color="auto" w:fill="480B80"/>
            <w:vAlign w:val="center"/>
          </w:tcPr>
          <w:p w:rsidR="00A83B67" w:rsidRDefault="00A83B67">
            <w:pPr>
              <w:rPr>
                <w:rFonts w:ascii="Calibri" w:eastAsia="Arial Unicode MS" w:hAnsi="Calibri" w:cs="Times New Roman"/>
                <w:b/>
                <w:bCs/>
                <w:color w:val="FFFFFF"/>
              </w:rPr>
            </w:pPr>
          </w:p>
        </w:tc>
        <w:tc>
          <w:tcPr>
            <w:tcW w:w="1701"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A83B67" w:rsidRDefault="00A83B67">
            <w:pPr>
              <w:jc w:val="right"/>
              <w:rPr>
                <w:rFonts w:ascii="Calibri" w:eastAsia="Arial Unicode MS" w:hAnsi="Calibri" w:cs="Times New Roman"/>
                <w:color w:val="FFFFFF"/>
              </w:rPr>
            </w:pPr>
            <w:r>
              <w:rPr>
                <w:rFonts w:ascii="Calibri" w:hAnsi="Calibri" w:cs="Calibri"/>
                <w:color w:val="FFFFFF"/>
              </w:rPr>
              <w:t>Frequency</w:t>
            </w:r>
          </w:p>
        </w:tc>
      </w:tr>
      <w:tr w:rsidR="00A83B67">
        <w:trPr>
          <w:trHeight w:val="255"/>
        </w:trPr>
        <w:tc>
          <w:tcPr>
            <w:tcW w:w="1701" w:type="dxa"/>
            <w:tcBorders>
              <w:top w:val="single" w:sz="4" w:space="0" w:color="auto"/>
              <w:left w:val="single" w:sz="4" w:space="0" w:color="auto"/>
              <w:bottom w:val="nil"/>
              <w:right w:val="nil"/>
            </w:tcBorders>
            <w:vAlign w:val="bottom"/>
          </w:tcPr>
          <w:p w:rsidR="00A83B67" w:rsidRDefault="00A83B67">
            <w:pPr>
              <w:rPr>
                <w:rFonts w:ascii="Calibri" w:hAnsi="Calibri" w:cs="Calibri"/>
              </w:rPr>
            </w:pPr>
            <w:r>
              <w:rPr>
                <w:rFonts w:ascii="Calibri" w:hAnsi="Calibri" w:cs="Calibri"/>
              </w:rPr>
              <w:t>Employed</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26</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Unemployed</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9</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Student</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3</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Child</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20</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Retired</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4</w:t>
            </w:r>
          </w:p>
        </w:tc>
      </w:tr>
      <w:tr w:rsidR="00A83B67">
        <w:trPr>
          <w:trHeight w:val="255"/>
        </w:trPr>
        <w:tc>
          <w:tcPr>
            <w:tcW w:w="1701" w:type="dxa"/>
            <w:tcBorders>
              <w:top w:val="nil"/>
              <w:left w:val="single" w:sz="4" w:space="0" w:color="auto"/>
              <w:bottom w:val="nil"/>
              <w:right w:val="nil"/>
            </w:tcBorders>
            <w:vAlign w:val="bottom"/>
          </w:tcPr>
          <w:p w:rsidR="00A83B67" w:rsidRDefault="00A83B67">
            <w:pPr>
              <w:rPr>
                <w:rFonts w:ascii="Calibri" w:hAnsi="Calibri" w:cs="Calibri"/>
              </w:rPr>
            </w:pPr>
            <w:r>
              <w:rPr>
                <w:rFonts w:ascii="Calibri" w:hAnsi="Calibri" w:cs="Calibri"/>
              </w:rPr>
              <w:t>Not stated</w:t>
            </w:r>
          </w:p>
        </w:tc>
        <w:tc>
          <w:tcPr>
            <w:tcW w:w="1701" w:type="dxa"/>
            <w:tcBorders>
              <w:top w:val="nil"/>
              <w:left w:val="single" w:sz="4" w:space="0" w:color="auto"/>
              <w:bottom w:val="nil"/>
              <w:right w:val="single" w:sz="4" w:space="0" w:color="auto"/>
            </w:tcBorders>
            <w:noWrap/>
            <w:vAlign w:val="bottom"/>
          </w:tcPr>
          <w:p w:rsidR="00A83B67" w:rsidRDefault="00A83B67">
            <w:pPr>
              <w:jc w:val="right"/>
              <w:rPr>
                <w:rFonts w:ascii="Calibri" w:hAnsi="Calibri" w:cs="Calibri"/>
              </w:rPr>
            </w:pPr>
            <w:r>
              <w:rPr>
                <w:rFonts w:ascii="Calibri" w:hAnsi="Calibri" w:cs="Calibri"/>
              </w:rPr>
              <w:t>3</w:t>
            </w:r>
          </w:p>
        </w:tc>
      </w:tr>
      <w:tr w:rsidR="00A83B67">
        <w:trPr>
          <w:trHeight w:val="255"/>
        </w:trPr>
        <w:tc>
          <w:tcPr>
            <w:tcW w:w="1701" w:type="dxa"/>
            <w:tcBorders>
              <w:top w:val="nil"/>
              <w:left w:val="single" w:sz="4" w:space="0" w:color="auto"/>
              <w:bottom w:val="single" w:sz="4" w:space="0" w:color="auto"/>
              <w:right w:val="nil"/>
            </w:tcBorders>
            <w:shd w:val="clear" w:color="auto" w:fill="F2F2F2"/>
            <w:vAlign w:val="bottom"/>
          </w:tcPr>
          <w:p w:rsidR="00A83B67" w:rsidRDefault="00A83B67">
            <w:pPr>
              <w:rPr>
                <w:rFonts w:ascii="Calibri" w:hAnsi="Calibri" w:cs="Calibri"/>
              </w:rPr>
            </w:pPr>
            <w:r>
              <w:rPr>
                <w:rFonts w:ascii="Calibri" w:hAnsi="Calibri" w:cs="Calibri"/>
              </w:rPr>
              <w:t>Total</w:t>
            </w:r>
          </w:p>
        </w:tc>
        <w:tc>
          <w:tcPr>
            <w:tcW w:w="1701" w:type="dxa"/>
            <w:tcBorders>
              <w:top w:val="nil"/>
              <w:left w:val="single" w:sz="4" w:space="0" w:color="auto"/>
              <w:bottom w:val="single" w:sz="4" w:space="0" w:color="auto"/>
              <w:right w:val="single" w:sz="4" w:space="0" w:color="auto"/>
            </w:tcBorders>
            <w:shd w:val="clear" w:color="auto" w:fill="F2F2F2"/>
            <w:noWrap/>
            <w:vAlign w:val="bottom"/>
          </w:tcPr>
          <w:p w:rsidR="00A83B67" w:rsidRDefault="00A83B67">
            <w:pPr>
              <w:jc w:val="right"/>
              <w:rPr>
                <w:rFonts w:ascii="Calibri" w:hAnsi="Calibri" w:cs="Calibri"/>
              </w:rPr>
            </w:pPr>
            <w:r>
              <w:rPr>
                <w:rFonts w:ascii="Calibri" w:hAnsi="Calibri" w:cs="Calibri"/>
              </w:rPr>
              <w:t>65 people</w:t>
            </w:r>
          </w:p>
        </w:tc>
      </w:tr>
    </w:tbl>
    <w:p w:rsidR="00A83B67" w:rsidRDefault="00A83B67">
      <w:pPr>
        <w:rPr>
          <w:rFonts w:ascii="Calibri" w:hAnsi="Calibri" w:cs="Calibri"/>
          <w:b/>
          <w:bCs/>
        </w:rPr>
      </w:pPr>
    </w:p>
    <w:p w:rsidR="00A83B67" w:rsidRDefault="00A83B67">
      <w:pPr>
        <w:pStyle w:val="Heading5"/>
        <w:rPr>
          <w:rFonts w:ascii="Calibri" w:hAnsi="Calibri" w:cs="Calibri"/>
          <w:color w:val="480B80"/>
          <w:sz w:val="28"/>
          <w:szCs w:val="28"/>
          <w:u w:val="none"/>
        </w:rPr>
      </w:pPr>
      <w:r>
        <w:rPr>
          <w:rFonts w:ascii="Calibri" w:hAnsi="Calibri" w:cs="Calibri"/>
          <w:color w:val="480B80"/>
          <w:sz w:val="28"/>
          <w:szCs w:val="28"/>
          <w:u w:val="none"/>
        </w:rPr>
        <w:t>Property Type, Size and Tenure</w:t>
      </w:r>
    </w:p>
    <w:p w:rsidR="00A83B67" w:rsidRDefault="00A83B67">
      <w:pPr>
        <w:rPr>
          <w:rFonts w:ascii="Calibri" w:hAnsi="Calibri" w:cs="Calibri"/>
        </w:rPr>
      </w:pPr>
    </w:p>
    <w:p w:rsidR="00A83B67" w:rsidRDefault="00A83B67">
      <w:pPr>
        <w:pStyle w:val="BodyText"/>
        <w:rPr>
          <w:rFonts w:ascii="Calibri" w:hAnsi="Calibri" w:cs="Calibri"/>
          <w:sz w:val="24"/>
          <w:szCs w:val="24"/>
        </w:rPr>
      </w:pPr>
      <w:r>
        <w:rPr>
          <w:rFonts w:ascii="Calibri" w:hAnsi="Calibri" w:cs="Calibri"/>
          <w:sz w:val="24"/>
          <w:szCs w:val="24"/>
        </w:rPr>
        <w:t>The survey allowed respondents to indicate the type (e.g. house, bungalow, flat, etc.), size (in terms of number of bedrooms) and tenure they would prefer. However, in concluding what type, size and tenure of properties should actually be built, this report’s recommendations are based on actual need rather than respondent aspirations. This analysis has been done by reference to South Cambridgeshire District Council’s Lettings Policy Document.</w:t>
      </w:r>
      <w:r>
        <w:rPr>
          <w:rStyle w:val="FootnoteReference"/>
          <w:rFonts w:ascii="Calibri" w:hAnsi="Calibri" w:cs="Calibri"/>
          <w:sz w:val="24"/>
          <w:szCs w:val="24"/>
        </w:rPr>
        <w:footnoteReference w:id="9"/>
      </w:r>
      <w:r>
        <w:rPr>
          <w:rFonts w:ascii="Calibri" w:hAnsi="Calibri" w:cs="Calibri"/>
          <w:sz w:val="24"/>
          <w:szCs w:val="24"/>
        </w:rPr>
        <w:t xml:space="preserve"> </w:t>
      </w:r>
    </w:p>
    <w:p w:rsidR="00A83B67" w:rsidRDefault="00A83B67">
      <w:pPr>
        <w:pStyle w:val="BodyText"/>
        <w:rPr>
          <w:rFonts w:ascii="Calibri" w:hAnsi="Calibri" w:cs="Calibri"/>
          <w:sz w:val="24"/>
          <w:szCs w:val="24"/>
        </w:rPr>
      </w:pPr>
    </w:p>
    <w:p w:rsidR="00A83B67" w:rsidRDefault="00A83B67">
      <w:pPr>
        <w:pStyle w:val="BodyText"/>
        <w:rPr>
          <w:rFonts w:ascii="Calibri" w:hAnsi="Calibri" w:cs="Calibri"/>
          <w:sz w:val="24"/>
          <w:szCs w:val="24"/>
        </w:rPr>
      </w:pPr>
    </w:p>
    <w:p w:rsidR="00A83B67" w:rsidRDefault="00A83B67">
      <w:pPr>
        <w:pStyle w:val="Header"/>
        <w:tabs>
          <w:tab w:val="clear" w:pos="4153"/>
          <w:tab w:val="clear" w:pos="8306"/>
        </w:tabs>
        <w:rPr>
          <w:rFonts w:ascii="Calibri" w:hAnsi="Calibri" w:cs="Calibri"/>
          <w:b/>
          <w:bCs/>
          <w:sz w:val="28"/>
          <w:szCs w:val="28"/>
        </w:rPr>
      </w:pPr>
      <w:r>
        <w:rPr>
          <w:rFonts w:ascii="Calibri" w:hAnsi="Calibri" w:cs="Calibri"/>
          <w:b/>
          <w:bCs/>
          <w:sz w:val="28"/>
          <w:szCs w:val="28"/>
        </w:rPr>
        <w:t>SUMMARY AND RECOMMENDATION</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This report has been informed by primary data (people who responded to the survey stating that they have a housing need) and secondary data, such as the ratio of local house price to local income, the demographics of the local population and the local housing register.</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 xml:space="preserve">It is this report’s conclusion that a significant affordable housing need has been found in Melbourn Parish. </w:t>
      </w:r>
    </w:p>
    <w:p w:rsidR="00A83B67" w:rsidRDefault="00A83B67">
      <w:pPr>
        <w:rPr>
          <w:rFonts w:ascii="Calibri" w:hAnsi="Calibri" w:cs="Calibri"/>
          <w:highlight w:val="yellow"/>
        </w:rPr>
      </w:pPr>
    </w:p>
    <w:p w:rsidR="00A83B67" w:rsidRDefault="00A83B67">
      <w:pPr>
        <w:rPr>
          <w:rFonts w:ascii="Calibri" w:hAnsi="Calibri" w:cs="Calibri"/>
          <w:highlight w:val="yellow"/>
        </w:rPr>
      </w:pPr>
    </w:p>
    <w:p w:rsidR="00A83B67" w:rsidRDefault="00A83B67">
      <w:pPr>
        <w:rPr>
          <w:rFonts w:ascii="Calibri" w:hAnsi="Calibri" w:cs="Calibri"/>
          <w:b/>
          <w:bCs/>
          <w:color w:val="480B80"/>
          <w:sz w:val="28"/>
          <w:szCs w:val="28"/>
        </w:rPr>
      </w:pPr>
      <w:r>
        <w:rPr>
          <w:rFonts w:ascii="Calibri" w:hAnsi="Calibri" w:cs="Calibri"/>
          <w:b/>
          <w:bCs/>
          <w:color w:val="480B80"/>
          <w:sz w:val="28"/>
          <w:szCs w:val="28"/>
        </w:rPr>
        <w:t>Pre-Existing Evidence from the Housing Register</w:t>
      </w:r>
    </w:p>
    <w:p w:rsidR="00A83B67" w:rsidRDefault="00A83B67">
      <w:pPr>
        <w:pStyle w:val="Heading6"/>
        <w:rPr>
          <w:rFonts w:ascii="Calibri" w:hAnsi="Calibri" w:cs="Calibri"/>
          <w:i w:val="0"/>
          <w:iCs w:val="0"/>
          <w:sz w:val="24"/>
          <w:szCs w:val="24"/>
        </w:rPr>
      </w:pPr>
    </w:p>
    <w:p w:rsidR="00A83B67" w:rsidRDefault="00A83B67">
      <w:pPr>
        <w:pStyle w:val="Heading6"/>
        <w:rPr>
          <w:rFonts w:ascii="Calibri" w:hAnsi="Calibri" w:cs="Calibri"/>
          <w:i w:val="0"/>
          <w:iCs w:val="0"/>
          <w:sz w:val="24"/>
          <w:szCs w:val="24"/>
        </w:rPr>
      </w:pPr>
      <w:r>
        <w:rPr>
          <w:rFonts w:ascii="Calibri" w:hAnsi="Calibri" w:cs="Calibri"/>
          <w:i w:val="0"/>
          <w:iCs w:val="0"/>
          <w:sz w:val="24"/>
          <w:szCs w:val="24"/>
        </w:rPr>
        <w:t>The local Housing Register was searched for households in need of affordable housing with a local connection to Melbourn. There are 183 households on the Register that meet this criterion. This data was been combined with the results of this survey in order to calculate overall need.</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The properties that would need to be built and then let out through a Housing Association to accommodate these households are as follows</w:t>
      </w:r>
      <w:r>
        <w:rPr>
          <w:rStyle w:val="FootnoteReference"/>
          <w:rFonts w:ascii="Calibri" w:hAnsi="Calibri" w:cs="Calibri"/>
        </w:rPr>
        <w:footnoteReference w:id="10"/>
      </w:r>
      <w:r>
        <w:rPr>
          <w:rFonts w:ascii="Calibri" w:hAnsi="Calibri" w:cs="Calibri"/>
        </w:rPr>
        <w:t>:</w:t>
      </w:r>
    </w:p>
    <w:p w:rsidR="00A83B67" w:rsidRDefault="00A83B67">
      <w:pPr>
        <w:rPr>
          <w:rFonts w:ascii="Calibri" w:hAnsi="Calibri" w:cs="Calibri"/>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20"/>
        <w:gridCol w:w="520"/>
        <w:gridCol w:w="520"/>
        <w:gridCol w:w="519"/>
        <w:gridCol w:w="520"/>
        <w:gridCol w:w="520"/>
        <w:gridCol w:w="519"/>
        <w:gridCol w:w="520"/>
        <w:gridCol w:w="520"/>
        <w:gridCol w:w="519"/>
        <w:gridCol w:w="520"/>
        <w:gridCol w:w="520"/>
        <w:gridCol w:w="520"/>
        <w:gridCol w:w="520"/>
        <w:gridCol w:w="520"/>
        <w:gridCol w:w="1381"/>
      </w:tblGrid>
      <w:tr w:rsidR="00A83B67">
        <w:tc>
          <w:tcPr>
            <w:tcW w:w="1560"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1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2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3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4 bed</w:t>
            </w:r>
          </w:p>
        </w:tc>
        <w:tc>
          <w:tcPr>
            <w:tcW w:w="1560"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5+ bed</w:t>
            </w:r>
          </w:p>
        </w:tc>
        <w:tc>
          <w:tcPr>
            <w:tcW w:w="1381" w:type="dxa"/>
            <w:shd w:val="clear" w:color="auto" w:fill="480B80"/>
          </w:tcPr>
          <w:p w:rsidR="00A83B67" w:rsidRDefault="00A83B67">
            <w:pPr>
              <w:jc w:val="center"/>
              <w:rPr>
                <w:rFonts w:ascii="Calibri" w:hAnsi="Calibri" w:cs="Calibri"/>
                <w:color w:val="FFFFFF"/>
              </w:rPr>
            </w:pPr>
            <w:r>
              <w:rPr>
                <w:rFonts w:ascii="Calibri" w:hAnsi="Calibri" w:cs="Calibri"/>
                <w:color w:val="FFFFFF"/>
              </w:rPr>
              <w:t>Total</w:t>
            </w:r>
          </w:p>
        </w:tc>
      </w:tr>
      <w:tr w:rsidR="00A83B67">
        <w:trPr>
          <w:cantSplit/>
        </w:trPr>
        <w:tc>
          <w:tcPr>
            <w:tcW w:w="520"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20"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1381" w:type="dxa"/>
            <w:vMerge w:val="restart"/>
            <w:vAlign w:val="center"/>
          </w:tcPr>
          <w:p w:rsidR="00A83B67" w:rsidRDefault="00A83B67">
            <w:pPr>
              <w:jc w:val="center"/>
              <w:rPr>
                <w:rFonts w:ascii="Calibri" w:hAnsi="Calibri" w:cs="Calibri"/>
              </w:rPr>
            </w:pPr>
            <w:r>
              <w:rPr>
                <w:rFonts w:ascii="Calibri" w:hAnsi="Calibri" w:cs="Calibri"/>
              </w:rPr>
              <w:t>183</w:t>
            </w:r>
          </w:p>
        </w:tc>
      </w:tr>
      <w:tr w:rsidR="00A83B67">
        <w:trPr>
          <w:cantSplit/>
        </w:trPr>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52</w:t>
            </w:r>
          </w:p>
        </w:tc>
        <w:tc>
          <w:tcPr>
            <w:tcW w:w="520" w:type="dxa"/>
          </w:tcPr>
          <w:p w:rsidR="00A83B67" w:rsidRDefault="00A83B67">
            <w:pPr>
              <w:jc w:val="center"/>
              <w:rPr>
                <w:rFonts w:ascii="Calibri" w:hAnsi="Calibri" w:cs="Calibri"/>
              </w:rPr>
            </w:pPr>
            <w:r>
              <w:rPr>
                <w:rFonts w:ascii="Calibri" w:hAnsi="Calibri" w:cs="Calibri"/>
              </w:rPr>
              <w:t>4</w:t>
            </w: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52</w:t>
            </w:r>
          </w:p>
        </w:tc>
        <w:tc>
          <w:tcPr>
            <w:tcW w:w="520" w:type="dxa"/>
          </w:tcPr>
          <w:p w:rsidR="00A83B67" w:rsidRDefault="00A83B67">
            <w:pPr>
              <w:jc w:val="center"/>
              <w:rPr>
                <w:rFonts w:ascii="Calibri" w:hAnsi="Calibri" w:cs="Calibri"/>
              </w:rPr>
            </w:pPr>
            <w:r>
              <w:rPr>
                <w:rFonts w:ascii="Calibri" w:hAnsi="Calibri" w:cs="Calibri"/>
              </w:rPr>
              <w:t>35</w:t>
            </w: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34</w:t>
            </w:r>
          </w:p>
        </w:tc>
        <w:tc>
          <w:tcPr>
            <w:tcW w:w="520" w:type="dxa"/>
          </w:tcPr>
          <w:p w:rsidR="00A83B67" w:rsidRDefault="00A83B67">
            <w:pPr>
              <w:jc w:val="center"/>
              <w:rPr>
                <w:rFonts w:ascii="Calibri" w:hAnsi="Calibri" w:cs="Calibri"/>
              </w:rPr>
            </w:pPr>
            <w:r>
              <w:rPr>
                <w:rFonts w:ascii="Calibri" w:hAnsi="Calibri" w:cs="Calibri"/>
              </w:rPr>
              <w:t>2</w:t>
            </w: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4</w:t>
            </w: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1381" w:type="dxa"/>
            <w:vMerge/>
          </w:tcPr>
          <w:p w:rsidR="00A83B67" w:rsidRDefault="00A83B67">
            <w:pPr>
              <w:jc w:val="center"/>
              <w:rPr>
                <w:rFonts w:ascii="Calibri" w:hAnsi="Calibri" w:cs="Calibri"/>
              </w:rPr>
            </w:pPr>
          </w:p>
        </w:tc>
      </w:tr>
    </w:tbl>
    <w:p w:rsidR="00A83B67" w:rsidRDefault="00A83B67">
      <w:pPr>
        <w:rPr>
          <w:rFonts w:ascii="Calibri" w:hAnsi="Calibri" w:cs="Calibri"/>
          <w:b/>
          <w:bCs/>
        </w:rPr>
      </w:pPr>
    </w:p>
    <w:p w:rsidR="00A83B67" w:rsidRDefault="00A83B67">
      <w:pPr>
        <w:rPr>
          <w:rFonts w:ascii="Calibri" w:hAnsi="Calibri" w:cs="Calibri"/>
          <w:b/>
          <w:bCs/>
        </w:rPr>
      </w:pPr>
    </w:p>
    <w:p w:rsidR="00A83B67" w:rsidRDefault="00A83B67">
      <w:pPr>
        <w:rPr>
          <w:rFonts w:ascii="Calibri" w:hAnsi="Calibri" w:cs="Calibri"/>
          <w:b/>
          <w:bCs/>
          <w:color w:val="480B80"/>
          <w:sz w:val="28"/>
          <w:szCs w:val="28"/>
        </w:rPr>
      </w:pPr>
      <w:r>
        <w:rPr>
          <w:rFonts w:ascii="Calibri" w:hAnsi="Calibri" w:cs="Calibri"/>
          <w:b/>
          <w:bCs/>
          <w:color w:val="480B80"/>
          <w:sz w:val="28"/>
          <w:szCs w:val="28"/>
        </w:rPr>
        <w:t>Findings from Housing Needs Survey</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 xml:space="preserve">The Housing Needs Survey conducted in Melbourn found 29 households in need of affordable housing. 17 of these households were found to be already registered on the Housing Register and so were removed from the results, reducing the need identified through the survey to 12 additional households. </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Nine of these households would require a property let out through a Housing Association. The properties that need to be built to accommodate these households are as follows:</w:t>
      </w:r>
    </w:p>
    <w:p w:rsidR="00A83B67" w:rsidRDefault="00A83B67">
      <w:pPr>
        <w:rPr>
          <w:rFonts w:ascii="Calibri" w:hAnsi="Calibri" w:cs="Calibri"/>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20"/>
        <w:gridCol w:w="520"/>
        <w:gridCol w:w="520"/>
        <w:gridCol w:w="519"/>
        <w:gridCol w:w="520"/>
        <w:gridCol w:w="520"/>
        <w:gridCol w:w="519"/>
        <w:gridCol w:w="520"/>
        <w:gridCol w:w="520"/>
        <w:gridCol w:w="519"/>
        <w:gridCol w:w="520"/>
        <w:gridCol w:w="520"/>
        <w:gridCol w:w="520"/>
        <w:gridCol w:w="520"/>
        <w:gridCol w:w="520"/>
        <w:gridCol w:w="1381"/>
      </w:tblGrid>
      <w:tr w:rsidR="00A83B67">
        <w:tc>
          <w:tcPr>
            <w:tcW w:w="1560"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1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2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3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4 bed</w:t>
            </w:r>
          </w:p>
        </w:tc>
        <w:tc>
          <w:tcPr>
            <w:tcW w:w="1560"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5+ bed</w:t>
            </w:r>
          </w:p>
        </w:tc>
        <w:tc>
          <w:tcPr>
            <w:tcW w:w="1381" w:type="dxa"/>
            <w:shd w:val="clear" w:color="auto" w:fill="480B80"/>
          </w:tcPr>
          <w:p w:rsidR="00A83B67" w:rsidRDefault="00A83B67">
            <w:pPr>
              <w:jc w:val="center"/>
              <w:rPr>
                <w:rFonts w:ascii="Calibri" w:hAnsi="Calibri" w:cs="Calibri"/>
                <w:color w:val="FFFFFF"/>
              </w:rPr>
            </w:pPr>
            <w:r>
              <w:rPr>
                <w:rFonts w:ascii="Calibri" w:hAnsi="Calibri" w:cs="Calibri"/>
                <w:color w:val="FFFFFF"/>
              </w:rPr>
              <w:t>Total</w:t>
            </w:r>
          </w:p>
        </w:tc>
      </w:tr>
      <w:tr w:rsidR="00A83B67">
        <w:trPr>
          <w:cantSplit/>
        </w:trPr>
        <w:tc>
          <w:tcPr>
            <w:tcW w:w="520"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20"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1381" w:type="dxa"/>
            <w:vMerge w:val="restart"/>
            <w:vAlign w:val="center"/>
          </w:tcPr>
          <w:p w:rsidR="00A83B67" w:rsidRDefault="00A83B67">
            <w:pPr>
              <w:jc w:val="center"/>
              <w:rPr>
                <w:rFonts w:ascii="Calibri" w:hAnsi="Calibri" w:cs="Calibri"/>
              </w:rPr>
            </w:pPr>
            <w:r>
              <w:rPr>
                <w:rFonts w:ascii="Calibri" w:hAnsi="Calibri" w:cs="Calibri"/>
              </w:rPr>
              <w:t>9</w:t>
            </w:r>
          </w:p>
        </w:tc>
      </w:tr>
      <w:tr w:rsidR="00A83B67">
        <w:trPr>
          <w:cantSplit/>
        </w:trPr>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4</w:t>
            </w:r>
          </w:p>
        </w:tc>
        <w:tc>
          <w:tcPr>
            <w:tcW w:w="520" w:type="dxa"/>
          </w:tcPr>
          <w:p w:rsidR="00A83B67" w:rsidRDefault="00A83B67">
            <w:pPr>
              <w:jc w:val="center"/>
              <w:rPr>
                <w:rFonts w:ascii="Calibri" w:hAnsi="Calibri" w:cs="Calibri"/>
              </w:rPr>
            </w:pPr>
            <w:r>
              <w:rPr>
                <w:rFonts w:ascii="Calibri" w:hAnsi="Calibri" w:cs="Calibri"/>
              </w:rPr>
              <w:t>1</w:t>
            </w: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1</w:t>
            </w:r>
          </w:p>
        </w:tc>
        <w:tc>
          <w:tcPr>
            <w:tcW w:w="520" w:type="dxa"/>
          </w:tcPr>
          <w:p w:rsidR="00A83B67" w:rsidRDefault="00A83B67">
            <w:pPr>
              <w:jc w:val="center"/>
              <w:rPr>
                <w:rFonts w:ascii="Calibri" w:hAnsi="Calibri" w:cs="Calibri"/>
              </w:rPr>
            </w:pPr>
            <w:r>
              <w:rPr>
                <w:rFonts w:ascii="Calibri" w:hAnsi="Calibri" w:cs="Calibri"/>
              </w:rPr>
              <w:t>1</w:t>
            </w: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2</w:t>
            </w:r>
          </w:p>
        </w:tc>
        <w:tc>
          <w:tcPr>
            <w:tcW w:w="520" w:type="dxa"/>
          </w:tcPr>
          <w:p w:rsidR="00A83B67" w:rsidRDefault="00A83B67">
            <w:pPr>
              <w:jc w:val="center"/>
              <w:rPr>
                <w:rFonts w:ascii="Calibri" w:hAnsi="Calibri" w:cs="Calibri"/>
              </w:rPr>
            </w:pP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1381" w:type="dxa"/>
            <w:vMerge/>
          </w:tcPr>
          <w:p w:rsidR="00A83B67" w:rsidRDefault="00A83B67">
            <w:pPr>
              <w:jc w:val="center"/>
              <w:rPr>
                <w:rFonts w:ascii="Calibri" w:hAnsi="Calibri" w:cs="Calibri"/>
                <w:highlight w:val="yellow"/>
              </w:rPr>
            </w:pPr>
          </w:p>
        </w:tc>
      </w:tr>
    </w:tbl>
    <w:p w:rsidR="00A83B67" w:rsidRDefault="00A83B67">
      <w:pPr>
        <w:rPr>
          <w:rFonts w:ascii="Calibri" w:hAnsi="Calibri" w:cs="Calibri"/>
        </w:rPr>
      </w:pPr>
    </w:p>
    <w:p w:rsidR="00A83B67" w:rsidRDefault="00A83B67">
      <w:pPr>
        <w:rPr>
          <w:rFonts w:ascii="Calibri" w:hAnsi="Calibri" w:cs="Calibri"/>
        </w:rPr>
      </w:pPr>
      <w:r>
        <w:rPr>
          <w:rFonts w:ascii="Calibri" w:hAnsi="Calibri" w:cs="Calibri"/>
        </w:rPr>
        <w:br w:type="page"/>
      </w:r>
    </w:p>
    <w:p w:rsidR="00A83B67" w:rsidRDefault="00A83B67">
      <w:pPr>
        <w:rPr>
          <w:rFonts w:ascii="Calibri" w:hAnsi="Calibri" w:cs="Calibri"/>
        </w:rPr>
      </w:pPr>
      <w:r>
        <w:rPr>
          <w:rFonts w:ascii="Calibri" w:hAnsi="Calibri" w:cs="Calibri"/>
        </w:rPr>
        <w:t>The remaining three households require a property available for Shared Ownership through a Housing Association. The properties that need to be built to accommodate these households are as follows:</w:t>
      </w:r>
    </w:p>
    <w:p w:rsidR="00A83B67" w:rsidRDefault="00A83B67">
      <w:pPr>
        <w:rPr>
          <w:rFonts w:ascii="Calibri" w:hAnsi="Calibri" w:cs="Calibri"/>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20"/>
        <w:gridCol w:w="520"/>
        <w:gridCol w:w="520"/>
        <w:gridCol w:w="519"/>
        <w:gridCol w:w="520"/>
        <w:gridCol w:w="520"/>
        <w:gridCol w:w="519"/>
        <w:gridCol w:w="520"/>
        <w:gridCol w:w="520"/>
        <w:gridCol w:w="519"/>
        <w:gridCol w:w="520"/>
        <w:gridCol w:w="520"/>
        <w:gridCol w:w="520"/>
        <w:gridCol w:w="520"/>
        <w:gridCol w:w="520"/>
        <w:gridCol w:w="1381"/>
      </w:tblGrid>
      <w:tr w:rsidR="00A83B67">
        <w:tc>
          <w:tcPr>
            <w:tcW w:w="1560"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1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2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3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4 bed</w:t>
            </w:r>
          </w:p>
        </w:tc>
        <w:tc>
          <w:tcPr>
            <w:tcW w:w="1560"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5+ bed</w:t>
            </w:r>
          </w:p>
        </w:tc>
        <w:tc>
          <w:tcPr>
            <w:tcW w:w="1381" w:type="dxa"/>
            <w:shd w:val="clear" w:color="auto" w:fill="480B80"/>
          </w:tcPr>
          <w:p w:rsidR="00A83B67" w:rsidRDefault="00A83B67">
            <w:pPr>
              <w:jc w:val="center"/>
              <w:rPr>
                <w:rFonts w:ascii="Calibri" w:hAnsi="Calibri" w:cs="Calibri"/>
                <w:color w:val="FFFFFF"/>
              </w:rPr>
            </w:pPr>
            <w:r>
              <w:rPr>
                <w:rFonts w:ascii="Calibri" w:hAnsi="Calibri" w:cs="Calibri"/>
                <w:color w:val="FFFFFF"/>
              </w:rPr>
              <w:t>Total</w:t>
            </w:r>
          </w:p>
        </w:tc>
      </w:tr>
      <w:tr w:rsidR="00A83B67">
        <w:trPr>
          <w:cantSplit/>
        </w:trPr>
        <w:tc>
          <w:tcPr>
            <w:tcW w:w="520"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20"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1381" w:type="dxa"/>
            <w:vMerge w:val="restart"/>
            <w:vAlign w:val="center"/>
          </w:tcPr>
          <w:p w:rsidR="00A83B67" w:rsidRDefault="00A83B67">
            <w:pPr>
              <w:jc w:val="center"/>
              <w:rPr>
                <w:rFonts w:ascii="Calibri" w:hAnsi="Calibri" w:cs="Calibri"/>
                <w:highlight w:val="yellow"/>
              </w:rPr>
            </w:pPr>
            <w:r>
              <w:rPr>
                <w:rFonts w:ascii="Calibri" w:hAnsi="Calibri" w:cs="Calibri"/>
              </w:rPr>
              <w:t>3</w:t>
            </w:r>
          </w:p>
        </w:tc>
      </w:tr>
      <w:tr w:rsidR="00A83B67">
        <w:trPr>
          <w:cantSplit/>
        </w:trPr>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1</w:t>
            </w: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2</w:t>
            </w:r>
          </w:p>
        </w:tc>
        <w:tc>
          <w:tcPr>
            <w:tcW w:w="520" w:type="dxa"/>
          </w:tcPr>
          <w:p w:rsidR="00A83B67" w:rsidRDefault="00A83B67">
            <w:pPr>
              <w:jc w:val="center"/>
              <w:rPr>
                <w:rFonts w:ascii="Calibri" w:hAnsi="Calibri" w:cs="Calibri"/>
              </w:rPr>
            </w:pP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1381" w:type="dxa"/>
            <w:vMerge/>
          </w:tcPr>
          <w:p w:rsidR="00A83B67" w:rsidRDefault="00A83B67">
            <w:pPr>
              <w:jc w:val="center"/>
              <w:rPr>
                <w:rFonts w:ascii="Calibri" w:hAnsi="Calibri" w:cs="Calibri"/>
                <w:highlight w:val="yellow"/>
              </w:rPr>
            </w:pPr>
          </w:p>
        </w:tc>
      </w:tr>
    </w:tbl>
    <w:p w:rsidR="00A83B67" w:rsidRDefault="00A83B67">
      <w:pPr>
        <w:rPr>
          <w:rFonts w:ascii="Calibri" w:hAnsi="Calibri" w:cs="Calibri"/>
        </w:rPr>
      </w:pPr>
    </w:p>
    <w:p w:rsidR="00A83B67" w:rsidRDefault="00A83B67">
      <w:pPr>
        <w:rPr>
          <w:rFonts w:ascii="Calibri" w:hAnsi="Calibri" w:cs="Calibri"/>
        </w:rPr>
      </w:pPr>
    </w:p>
    <w:p w:rsidR="00A83B67" w:rsidRDefault="00A83B67">
      <w:pPr>
        <w:rPr>
          <w:rFonts w:ascii="Calibri" w:hAnsi="Calibri" w:cs="Calibri"/>
          <w:b/>
          <w:bCs/>
          <w:color w:val="480B80"/>
          <w:sz w:val="28"/>
          <w:szCs w:val="28"/>
        </w:rPr>
      </w:pPr>
      <w:r>
        <w:rPr>
          <w:rFonts w:ascii="Calibri" w:hAnsi="Calibri" w:cs="Calibri"/>
          <w:b/>
          <w:bCs/>
          <w:color w:val="480B80"/>
          <w:sz w:val="28"/>
          <w:szCs w:val="28"/>
        </w:rPr>
        <w:t>Conclusion</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There are 195 households identified as being in need of affordable housing with a local connection to Melbourn:</w:t>
      </w:r>
    </w:p>
    <w:p w:rsidR="00A83B67" w:rsidRDefault="00A83B67">
      <w:pPr>
        <w:rPr>
          <w:rFonts w:ascii="Calibri" w:hAnsi="Calibri" w:cs="Calibri"/>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20"/>
        <w:gridCol w:w="520"/>
        <w:gridCol w:w="520"/>
        <w:gridCol w:w="519"/>
        <w:gridCol w:w="520"/>
        <w:gridCol w:w="520"/>
        <w:gridCol w:w="519"/>
        <w:gridCol w:w="520"/>
        <w:gridCol w:w="520"/>
        <w:gridCol w:w="519"/>
        <w:gridCol w:w="520"/>
        <w:gridCol w:w="520"/>
        <w:gridCol w:w="520"/>
        <w:gridCol w:w="520"/>
        <w:gridCol w:w="520"/>
        <w:gridCol w:w="1381"/>
      </w:tblGrid>
      <w:tr w:rsidR="00A83B67">
        <w:tc>
          <w:tcPr>
            <w:tcW w:w="1560"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1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2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3 bed</w:t>
            </w:r>
          </w:p>
        </w:tc>
        <w:tc>
          <w:tcPr>
            <w:tcW w:w="1559"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4 bed</w:t>
            </w:r>
          </w:p>
        </w:tc>
        <w:tc>
          <w:tcPr>
            <w:tcW w:w="1560" w:type="dxa"/>
            <w:gridSpan w:val="3"/>
            <w:shd w:val="clear" w:color="auto" w:fill="480B80"/>
          </w:tcPr>
          <w:p w:rsidR="00A83B67" w:rsidRDefault="00A83B67">
            <w:pPr>
              <w:jc w:val="center"/>
              <w:rPr>
                <w:rFonts w:ascii="Calibri" w:hAnsi="Calibri" w:cs="Calibri"/>
                <w:color w:val="FFFFFF"/>
              </w:rPr>
            </w:pPr>
            <w:r>
              <w:rPr>
                <w:rFonts w:ascii="Calibri" w:hAnsi="Calibri" w:cs="Calibri"/>
                <w:color w:val="FFFFFF"/>
              </w:rPr>
              <w:t>5+ bed</w:t>
            </w:r>
          </w:p>
        </w:tc>
        <w:tc>
          <w:tcPr>
            <w:tcW w:w="1381" w:type="dxa"/>
            <w:shd w:val="clear" w:color="auto" w:fill="480B80"/>
          </w:tcPr>
          <w:p w:rsidR="00A83B67" w:rsidRDefault="00A83B67">
            <w:pPr>
              <w:jc w:val="center"/>
              <w:rPr>
                <w:rFonts w:ascii="Calibri" w:hAnsi="Calibri" w:cs="Calibri"/>
                <w:color w:val="FFFFFF"/>
              </w:rPr>
            </w:pPr>
            <w:r>
              <w:rPr>
                <w:rFonts w:ascii="Calibri" w:hAnsi="Calibri" w:cs="Calibri"/>
                <w:color w:val="FFFFFF"/>
              </w:rPr>
              <w:t>Total</w:t>
            </w:r>
          </w:p>
        </w:tc>
      </w:tr>
      <w:tr w:rsidR="00A83B67">
        <w:trPr>
          <w:cantSplit/>
        </w:trPr>
        <w:tc>
          <w:tcPr>
            <w:tcW w:w="520"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19"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520" w:type="dxa"/>
            <w:shd w:val="clear" w:color="auto" w:fill="F2F2F2"/>
          </w:tcPr>
          <w:p w:rsidR="00A83B67" w:rsidRDefault="00A83B67">
            <w:pPr>
              <w:jc w:val="center"/>
              <w:rPr>
                <w:rFonts w:ascii="Calibri" w:hAnsi="Calibri" w:cs="Calibri"/>
              </w:rPr>
            </w:pPr>
            <w:r>
              <w:rPr>
                <w:rFonts w:ascii="Calibri" w:hAnsi="Calibri" w:cs="Calibri"/>
              </w:rPr>
              <w:t>F</w:t>
            </w:r>
          </w:p>
        </w:tc>
        <w:tc>
          <w:tcPr>
            <w:tcW w:w="520" w:type="dxa"/>
            <w:shd w:val="clear" w:color="auto" w:fill="F2F2F2"/>
          </w:tcPr>
          <w:p w:rsidR="00A83B67" w:rsidRDefault="00A83B67">
            <w:pPr>
              <w:jc w:val="center"/>
              <w:rPr>
                <w:rFonts w:ascii="Calibri" w:hAnsi="Calibri" w:cs="Calibri"/>
              </w:rPr>
            </w:pPr>
            <w:r>
              <w:rPr>
                <w:rFonts w:ascii="Calibri" w:hAnsi="Calibri" w:cs="Calibri"/>
              </w:rPr>
              <w:t>H</w:t>
            </w:r>
          </w:p>
        </w:tc>
        <w:tc>
          <w:tcPr>
            <w:tcW w:w="520" w:type="dxa"/>
            <w:shd w:val="clear" w:color="auto" w:fill="F2F2F2"/>
          </w:tcPr>
          <w:p w:rsidR="00A83B67" w:rsidRDefault="00A83B67">
            <w:pPr>
              <w:jc w:val="center"/>
              <w:rPr>
                <w:rFonts w:ascii="Calibri" w:hAnsi="Calibri" w:cs="Calibri"/>
              </w:rPr>
            </w:pPr>
            <w:r>
              <w:rPr>
                <w:rFonts w:ascii="Calibri" w:hAnsi="Calibri" w:cs="Calibri"/>
              </w:rPr>
              <w:t>B</w:t>
            </w:r>
          </w:p>
        </w:tc>
        <w:tc>
          <w:tcPr>
            <w:tcW w:w="1381" w:type="dxa"/>
            <w:vMerge w:val="restart"/>
            <w:vAlign w:val="center"/>
          </w:tcPr>
          <w:p w:rsidR="00A83B67" w:rsidRDefault="00A83B67">
            <w:pPr>
              <w:jc w:val="center"/>
              <w:rPr>
                <w:rFonts w:ascii="Calibri" w:hAnsi="Calibri" w:cs="Calibri"/>
              </w:rPr>
            </w:pPr>
            <w:r>
              <w:rPr>
                <w:rFonts w:ascii="Calibri" w:hAnsi="Calibri" w:cs="Calibri"/>
              </w:rPr>
              <w:t>195</w:t>
            </w:r>
          </w:p>
        </w:tc>
      </w:tr>
      <w:tr w:rsidR="00A83B67">
        <w:trPr>
          <w:cantSplit/>
        </w:trPr>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56</w:t>
            </w:r>
          </w:p>
        </w:tc>
        <w:tc>
          <w:tcPr>
            <w:tcW w:w="520" w:type="dxa"/>
          </w:tcPr>
          <w:p w:rsidR="00A83B67" w:rsidRDefault="00A83B67">
            <w:pPr>
              <w:jc w:val="center"/>
              <w:rPr>
                <w:rFonts w:ascii="Calibri" w:hAnsi="Calibri" w:cs="Calibri"/>
              </w:rPr>
            </w:pPr>
            <w:r>
              <w:rPr>
                <w:rFonts w:ascii="Calibri" w:hAnsi="Calibri" w:cs="Calibri"/>
              </w:rPr>
              <w:t>6</w:t>
            </w: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53</w:t>
            </w:r>
          </w:p>
        </w:tc>
        <w:tc>
          <w:tcPr>
            <w:tcW w:w="520" w:type="dxa"/>
          </w:tcPr>
          <w:p w:rsidR="00A83B67" w:rsidRDefault="00A83B67">
            <w:pPr>
              <w:jc w:val="center"/>
              <w:rPr>
                <w:rFonts w:ascii="Calibri" w:hAnsi="Calibri" w:cs="Calibri"/>
              </w:rPr>
            </w:pPr>
            <w:r>
              <w:rPr>
                <w:rFonts w:ascii="Calibri" w:hAnsi="Calibri" w:cs="Calibri"/>
              </w:rPr>
              <w:t>36</w:t>
            </w: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38</w:t>
            </w:r>
          </w:p>
        </w:tc>
        <w:tc>
          <w:tcPr>
            <w:tcW w:w="520" w:type="dxa"/>
          </w:tcPr>
          <w:p w:rsidR="00A83B67" w:rsidRDefault="00A83B67">
            <w:pPr>
              <w:jc w:val="center"/>
              <w:rPr>
                <w:rFonts w:ascii="Calibri" w:hAnsi="Calibri" w:cs="Calibri"/>
              </w:rPr>
            </w:pPr>
            <w:r>
              <w:rPr>
                <w:rFonts w:ascii="Calibri" w:hAnsi="Calibri" w:cs="Calibri"/>
              </w:rPr>
              <w:t>2</w:t>
            </w:r>
          </w:p>
        </w:tc>
        <w:tc>
          <w:tcPr>
            <w:tcW w:w="519"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r>
              <w:rPr>
                <w:rFonts w:ascii="Calibri" w:hAnsi="Calibri" w:cs="Calibri"/>
              </w:rPr>
              <w:t>4</w:t>
            </w: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520" w:type="dxa"/>
          </w:tcPr>
          <w:p w:rsidR="00A83B67" w:rsidRDefault="00A83B67">
            <w:pPr>
              <w:jc w:val="center"/>
              <w:rPr>
                <w:rFonts w:ascii="Calibri" w:hAnsi="Calibri" w:cs="Calibri"/>
              </w:rPr>
            </w:pPr>
          </w:p>
        </w:tc>
        <w:tc>
          <w:tcPr>
            <w:tcW w:w="1381" w:type="dxa"/>
            <w:vMerge/>
          </w:tcPr>
          <w:p w:rsidR="00A83B67" w:rsidRDefault="00A83B67">
            <w:pPr>
              <w:jc w:val="center"/>
              <w:rPr>
                <w:rFonts w:ascii="Calibri" w:hAnsi="Calibri" w:cs="Calibri"/>
              </w:rPr>
            </w:pPr>
          </w:p>
        </w:tc>
      </w:tr>
    </w:tbl>
    <w:p w:rsidR="00A83B67" w:rsidRDefault="00A83B67">
      <w:pPr>
        <w:rPr>
          <w:rFonts w:cs="Times New Roman"/>
        </w:rPr>
      </w:pPr>
    </w:p>
    <w:p w:rsidR="00A83B67" w:rsidRDefault="00A83B67">
      <w:pPr>
        <w:rPr>
          <w:rFonts w:ascii="Calibri" w:hAnsi="Calibri" w:cs="Calibri"/>
          <w:b/>
          <w:bCs/>
        </w:rPr>
      </w:pPr>
    </w:p>
    <w:p w:rsidR="00A83B67" w:rsidRDefault="00A83B67">
      <w:pPr>
        <w:rPr>
          <w:rFonts w:ascii="Calibri" w:hAnsi="Calibri" w:cs="Calibri"/>
          <w:b/>
          <w:bCs/>
          <w:color w:val="480B80"/>
          <w:sz w:val="28"/>
          <w:szCs w:val="28"/>
        </w:rPr>
      </w:pPr>
      <w:r>
        <w:rPr>
          <w:rFonts w:ascii="Calibri" w:hAnsi="Calibri" w:cs="Calibri"/>
          <w:b/>
          <w:bCs/>
          <w:color w:val="480B80"/>
          <w:sz w:val="28"/>
          <w:szCs w:val="28"/>
        </w:rPr>
        <w:t>Recommendation</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To fulfil all current and immediate housing need in Melbourn, 195 new affordable homes need to be built.</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This scale of need is well above the typical scale of rural exception site developments. It is therefore recommended that the size of the development should adhere to the Planning Policy contained within the Local Development Framework for South Cambridgeshire District Council on rural exception sites. Ongoing consultation between the Parish Council and Jephson Housing Association should help to inform this decision.</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 xml:space="preserve">Consideration also needs to be given to the </w:t>
      </w:r>
      <w:r>
        <w:rPr>
          <w:rFonts w:ascii="Calibri" w:hAnsi="Calibri" w:cs="Calibri"/>
          <w:i/>
          <w:iCs/>
        </w:rPr>
        <w:t>Melbourn Village Plan</w:t>
      </w:r>
      <w:r>
        <w:rPr>
          <w:rFonts w:ascii="Calibri" w:hAnsi="Calibri" w:cs="Calibri"/>
        </w:rPr>
        <w:t>. This plan is the result of extensive consultation and has a number of findings and agreed actions that could help shape any future affordable housing development in the village.</w:t>
      </w:r>
      <w:r>
        <w:rPr>
          <w:rFonts w:ascii="Calibri" w:hAnsi="Calibri" w:cs="Calibri"/>
          <w:color w:val="CC0000"/>
          <w:sz w:val="28"/>
          <w:szCs w:val="28"/>
        </w:rPr>
        <w:br w:type="page"/>
      </w:r>
    </w:p>
    <w:p w:rsidR="00A83B67" w:rsidRDefault="00A83B67">
      <w:pPr>
        <w:rPr>
          <w:rFonts w:ascii="Calibri" w:hAnsi="Calibri" w:cs="Calibri"/>
          <w:b/>
          <w:bCs/>
          <w:color w:val="480B80"/>
          <w:sz w:val="28"/>
          <w:szCs w:val="28"/>
        </w:rPr>
      </w:pPr>
      <w:r>
        <w:rPr>
          <w:rFonts w:ascii="Calibri" w:hAnsi="Calibri" w:cs="Calibri"/>
          <w:b/>
          <w:bCs/>
          <w:color w:val="480B80"/>
          <w:sz w:val="28"/>
          <w:szCs w:val="28"/>
        </w:rPr>
        <w:t>APPENDIX 1: CHOICE BASED LETTINGS AND LOW COST HOME OWNERSHIP</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 xml:space="preserve">Most people access affordable housing through either the Choice Based Lettings or Low Cost Home Ownership schemes. These prioritise people with the greatest level of need. Rural exception sites differ in that they prioritise local connections to a parish over level of need. </w:t>
      </w:r>
    </w:p>
    <w:p w:rsidR="00A83B67" w:rsidRDefault="00A83B67">
      <w:pPr>
        <w:rPr>
          <w:rFonts w:ascii="Calibri" w:hAnsi="Calibri" w:cs="Calibri"/>
        </w:rPr>
      </w:pPr>
    </w:p>
    <w:p w:rsidR="00A83B67" w:rsidRDefault="00A83B67">
      <w:pPr>
        <w:rPr>
          <w:rFonts w:ascii="Calibri" w:hAnsi="Calibri" w:cs="Calibri"/>
          <w:b/>
          <w:bCs/>
        </w:rPr>
      </w:pPr>
      <w:r>
        <w:rPr>
          <w:rFonts w:ascii="Calibri" w:hAnsi="Calibri" w:cs="Calibri"/>
          <w:b/>
          <w:bCs/>
        </w:rPr>
        <w:t>Choice Based Lettings</w:t>
      </w:r>
    </w:p>
    <w:p w:rsidR="00A83B67" w:rsidRDefault="00A83B67">
      <w:pPr>
        <w:rPr>
          <w:rFonts w:ascii="Calibri" w:hAnsi="Calibri" w:cs="Calibri"/>
        </w:rPr>
      </w:pPr>
    </w:p>
    <w:p w:rsidR="00A83B67" w:rsidRDefault="00A83B67">
      <w:pPr>
        <w:rPr>
          <w:rFonts w:ascii="Calibri" w:hAnsi="Calibri" w:cs="Calibri"/>
        </w:rPr>
      </w:pPr>
      <w:r>
        <w:rPr>
          <w:noProof/>
          <w:lang w:eastAsia="en-GB"/>
        </w:rPr>
        <w:pict>
          <v:shape id="Picture 1" o:spid="_x0000_s1034" type="#_x0000_t75" alt="HomeLinkLogo.gif" style="position:absolute;margin-left:-.3pt;margin-top:-.15pt;width:65.85pt;height:74.5pt;z-index:251661312;visibility:visible">
            <v:imagedata r:id="rId14" o:title=""/>
            <w10:wrap type="square"/>
          </v:shape>
        </w:pict>
      </w:r>
      <w:r>
        <w:rPr>
          <w:rFonts w:ascii="Calibri" w:hAnsi="Calibri" w:cs="Calibri"/>
        </w:rPr>
        <w:t>Home-Link is the Choice Based Lettings scheme for the Cambridge sub-region. Choice Based Lettings aims to make the application process for affordable rented housing easier and to give people more choice about where they live.</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Housing is allocated on a ‘needs basis’. In other words, those people that have the greatest level of need and have been in need for the longest time are given priority. Everybody on the Housing Register is assessed and placed into a band of need. Band A is the greatest level of need. Band D is the lowest.</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The scheme means there is just one Housing Register for the Cambridge sub region with only one form to complete. When applicants are accepted onto the Register they are told what Band they have been assigned to, what size and types of property they can apply for and which areas they can apply in. Generally people can apply for properties within the Local Authority in which they reside. If the person has a local connection to other areas (through, for example, work) they may be able to apply in these areas as well. A small proportion of properties in every Local Authority are set aside for applicants living anywhere in the Cambridge sub region.</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 xml:space="preserve">A distinctive feature of rural exception sites is that they have a ‘local connection’ condition attached to all affordable dwellings in perpetuity. This means that priority will always be given to people with a local connection to the parish even when their level of need is assessed to be lesser than other potential applicants. </w:t>
      </w:r>
    </w:p>
    <w:p w:rsidR="00A83B67" w:rsidRDefault="00A83B67">
      <w:pPr>
        <w:rPr>
          <w:rFonts w:ascii="Calibri" w:hAnsi="Calibri" w:cs="Calibri"/>
        </w:rPr>
      </w:pPr>
    </w:p>
    <w:p w:rsidR="00A83B67" w:rsidRDefault="00A83B67">
      <w:pPr>
        <w:rPr>
          <w:rFonts w:ascii="Calibri" w:hAnsi="Calibri" w:cs="Calibri"/>
          <w:b/>
          <w:bCs/>
        </w:rPr>
      </w:pPr>
      <w:r>
        <w:rPr>
          <w:rFonts w:ascii="Calibri" w:hAnsi="Calibri" w:cs="Calibri"/>
          <w:b/>
          <w:bCs/>
        </w:rPr>
        <w:t>Low Cost Home Ownership</w:t>
      </w:r>
    </w:p>
    <w:p w:rsidR="00A83B67" w:rsidRDefault="00A83B67">
      <w:pPr>
        <w:rPr>
          <w:rFonts w:ascii="Calibri" w:hAnsi="Calibri" w:cs="Calibri"/>
        </w:rPr>
      </w:pPr>
    </w:p>
    <w:p w:rsidR="00A83B67" w:rsidRDefault="00A83B67">
      <w:pPr>
        <w:rPr>
          <w:rFonts w:ascii="Calibri" w:hAnsi="Calibri" w:cs="Calibri"/>
        </w:rPr>
      </w:pPr>
      <w:r>
        <w:rPr>
          <w:noProof/>
          <w:lang w:eastAsia="en-GB"/>
        </w:rPr>
        <w:pict>
          <v:shape id="Picture 2" o:spid="_x0000_s1035" type="#_x0000_t75" alt="OHA-logo-RGB.gif" style="position:absolute;margin-left:1.85pt;margin-top:.35pt;width:102pt;height:57.2pt;z-index:251662336;visibility:visible">
            <v:imagedata r:id="rId15" o:title=""/>
            <w10:wrap type="square"/>
          </v:shape>
        </w:pict>
      </w:r>
      <w:r>
        <w:rPr>
          <w:rFonts w:ascii="Calibri" w:hAnsi="Calibri" w:cs="Calibri"/>
        </w:rPr>
        <w:t xml:space="preserve">Orbit HomeBuy Agent, the government-appointed HomeBuy Agent, responsible for marketing all low cost home ownership schemes in the Cambridge sub region, offers a Shared Ownership scheme called ‘New Build HomeBuy’. </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People buy a share in a property built by a housing association and pay a subsidised rent on the part that they do not own. They can buy an initial share of between 25% and 75% of the property and pay rent on the remaining share.</w:t>
      </w:r>
    </w:p>
    <w:p w:rsidR="00A83B67" w:rsidRDefault="00A83B67">
      <w:pPr>
        <w:rPr>
          <w:rFonts w:ascii="Calibri" w:hAnsi="Calibri" w:cs="Calibri"/>
        </w:rPr>
      </w:pPr>
    </w:p>
    <w:p w:rsidR="00A83B67" w:rsidRDefault="00A83B67">
      <w:pPr>
        <w:rPr>
          <w:rFonts w:ascii="Calibri" w:hAnsi="Calibri" w:cs="Calibri"/>
        </w:rPr>
      </w:pPr>
      <w:r>
        <w:rPr>
          <w:rFonts w:ascii="Calibri" w:hAnsi="Calibri" w:cs="Calibri"/>
        </w:rPr>
        <w:t>In some shared ownership schemes, the householder can buy additional shares until they own the property outright. This is known as ‘staircasing’. However, on rural exception sites ownership is limited to 80% to ensure the dwellings remain ‘affordable’ in perpetuity. Again, priority is given to people with a local connection to the parish.</w:t>
      </w:r>
    </w:p>
    <w:sectPr w:rsidR="00A83B67" w:rsidSect="00A83B67">
      <w:footerReference w:type="first" r:id="rId16"/>
      <w:pgSz w:w="11906" w:h="16838"/>
      <w:pgMar w:top="1418" w:right="1418" w:bottom="1418" w:left="1418"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B67" w:rsidRDefault="00A83B67">
      <w:pPr>
        <w:rPr>
          <w:rFonts w:cs="Times New Roman"/>
        </w:rPr>
      </w:pPr>
      <w:r>
        <w:rPr>
          <w:rFonts w:cs="Times New Roman"/>
        </w:rPr>
        <w:separator/>
      </w:r>
    </w:p>
  </w:endnote>
  <w:endnote w:type="continuationSeparator" w:id="0">
    <w:p w:rsidR="00A83B67" w:rsidRDefault="00A83B67">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B67" w:rsidRDefault="00A83B67">
    <w:pPr>
      <w:pStyle w:val="Footer"/>
      <w:tabs>
        <w:tab w:val="clear" w:pos="4153"/>
        <w:tab w:val="clear" w:pos="8306"/>
      </w:tabs>
      <w:jc w:val="right"/>
      <w:rPr>
        <w:rFonts w:ascii="Calibri" w:hAnsi="Calibri" w:cs="Calibri"/>
        <w:sz w:val="18"/>
        <w:szCs w:val="18"/>
      </w:rPr>
    </w:pPr>
    <w:r>
      <w:rPr>
        <w:rFonts w:ascii="Calibri" w:hAnsi="Calibri" w:cs="Calibri"/>
        <w:sz w:val="18"/>
        <w:szCs w:val="18"/>
      </w:rPr>
      <w:t xml:space="preserve">Page </w:t>
    </w:r>
    <w:r>
      <w:rPr>
        <w:rFonts w:ascii="Calibri" w:hAnsi="Calibri" w:cs="Calibri"/>
        <w:sz w:val="18"/>
        <w:szCs w:val="18"/>
      </w:rPr>
      <w:fldChar w:fldCharType="begin"/>
    </w:r>
    <w:r>
      <w:rPr>
        <w:rFonts w:ascii="Calibri" w:hAnsi="Calibri" w:cs="Calibri"/>
        <w:sz w:val="18"/>
        <w:szCs w:val="18"/>
      </w:rPr>
      <w:instrText xml:space="preserve"> PAGE  \* Arabic  \* MERGEFORMAT </w:instrText>
    </w:r>
    <w:r>
      <w:rPr>
        <w:rFonts w:ascii="Calibri" w:hAnsi="Calibri" w:cs="Calibri"/>
        <w:sz w:val="18"/>
        <w:szCs w:val="18"/>
      </w:rPr>
      <w:fldChar w:fldCharType="separate"/>
    </w:r>
    <w:r>
      <w:rPr>
        <w:rFonts w:ascii="Calibri" w:hAnsi="Calibri" w:cs="Calibri"/>
        <w:noProof/>
        <w:sz w:val="18"/>
        <w:szCs w:val="18"/>
      </w:rPr>
      <w:t>20</w:t>
    </w:r>
    <w:r>
      <w:rPr>
        <w:rFonts w:ascii="Calibri" w:hAnsi="Calibri" w:cs="Calibri"/>
        <w:sz w:val="18"/>
        <w:szCs w:val="18"/>
      </w:rPr>
      <w:fldChar w:fldCharType="end"/>
    </w:r>
    <w:r>
      <w:rPr>
        <w:rFonts w:ascii="Calibri" w:hAnsi="Calibri" w:cs="Calibri"/>
        <w:sz w:val="18"/>
        <w:szCs w:val="18"/>
      </w:rPr>
      <w:t xml:space="preserve"> of </w:t>
    </w:r>
    <w:fldSimple w:instr=" NUMPAGES  \* Arabic  \* MERGEFORMAT ">
      <w:r>
        <w:rPr>
          <w:rFonts w:ascii="Calibri" w:hAnsi="Calibri" w:cs="Calibri"/>
          <w:noProof/>
          <w:sz w:val="18"/>
          <w:szCs w:val="18"/>
        </w:rPr>
        <w:t>20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B67" w:rsidRDefault="00A83B67">
    <w:pPr>
      <w:pStyle w:val="Footer"/>
      <w:tabs>
        <w:tab w:val="clear" w:pos="4153"/>
        <w:tab w:val="clear" w:pos="8306"/>
      </w:tabs>
      <w:jc w:val="right"/>
      <w:rPr>
        <w:rFonts w:ascii="Calibri" w:hAnsi="Calibri" w:cs="Calibri"/>
        <w:sz w:val="18"/>
        <w:szCs w:val="18"/>
      </w:rPr>
    </w:pPr>
    <w:r>
      <w:rPr>
        <w:rFonts w:ascii="Calibri" w:hAnsi="Calibri" w:cs="Calibri"/>
        <w:sz w:val="18"/>
        <w:szCs w:val="18"/>
      </w:rPr>
      <w:t xml:space="preserve">Page </w:t>
    </w:r>
    <w:r>
      <w:rPr>
        <w:rFonts w:ascii="Calibri" w:hAnsi="Calibri" w:cs="Calibri"/>
        <w:sz w:val="18"/>
        <w:szCs w:val="18"/>
      </w:rPr>
      <w:fldChar w:fldCharType="begin"/>
    </w:r>
    <w:r>
      <w:rPr>
        <w:rFonts w:ascii="Calibri" w:hAnsi="Calibri" w:cs="Calibri"/>
        <w:sz w:val="18"/>
        <w:szCs w:val="18"/>
      </w:rPr>
      <w:instrText xml:space="preserve"> PAGE  \* Arabic  \* MERGEFORMAT </w:instrText>
    </w:r>
    <w:r>
      <w:rPr>
        <w:rFonts w:ascii="Calibri" w:hAnsi="Calibri" w:cs="Calibri"/>
        <w:sz w:val="18"/>
        <w:szCs w:val="18"/>
      </w:rPr>
      <w:fldChar w:fldCharType="separate"/>
    </w:r>
    <w:r>
      <w:rPr>
        <w:rFonts w:ascii="Calibri" w:hAnsi="Calibri" w:cs="Calibri"/>
        <w:noProof/>
        <w:sz w:val="18"/>
        <w:szCs w:val="18"/>
      </w:rPr>
      <w:t>2</w:t>
    </w:r>
    <w:r>
      <w:rPr>
        <w:rFonts w:ascii="Calibri" w:hAnsi="Calibri" w:cs="Calibri"/>
        <w:sz w:val="18"/>
        <w:szCs w:val="18"/>
      </w:rPr>
      <w:fldChar w:fldCharType="end"/>
    </w:r>
    <w:r>
      <w:rPr>
        <w:rFonts w:ascii="Calibri" w:hAnsi="Calibri" w:cs="Calibri"/>
        <w:sz w:val="18"/>
        <w:szCs w:val="18"/>
      </w:rPr>
      <w:t xml:space="preserve"> of </w:t>
    </w:r>
    <w:fldSimple w:instr=" NUMPAGES  \* Arabic  \* MERGEFORMAT ">
      <w:r>
        <w:rPr>
          <w:rFonts w:ascii="Calibri" w:hAnsi="Calibri" w:cs="Calibri"/>
          <w:noProof/>
          <w:sz w:val="18"/>
          <w:szCs w:val="18"/>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B67" w:rsidRDefault="00A83B67">
      <w:pPr>
        <w:rPr>
          <w:rFonts w:cs="Times New Roman"/>
        </w:rPr>
      </w:pPr>
      <w:r>
        <w:rPr>
          <w:rFonts w:cs="Times New Roman"/>
        </w:rPr>
        <w:separator/>
      </w:r>
    </w:p>
  </w:footnote>
  <w:footnote w:type="continuationSeparator" w:id="0">
    <w:p w:rsidR="00A83B67" w:rsidRDefault="00A83B67">
      <w:pPr>
        <w:rPr>
          <w:rFonts w:cs="Times New Roman"/>
        </w:rPr>
      </w:pPr>
      <w:r>
        <w:rPr>
          <w:rFonts w:cs="Times New Roman"/>
        </w:rPr>
        <w:continuationSeparator/>
      </w:r>
    </w:p>
  </w:footnote>
  <w:footnote w:id="1">
    <w:p w:rsidR="00A83B67" w:rsidRDefault="00A83B67">
      <w:pPr>
        <w:pStyle w:val="FootnoteText"/>
        <w:rPr>
          <w:rFonts w:cs="Times New Roman"/>
        </w:rPr>
      </w:pPr>
      <w:r>
        <w:rPr>
          <w:rStyle w:val="FootnoteReference"/>
          <w:rFonts w:ascii="Calibri" w:hAnsi="Calibri" w:cs="Calibri"/>
        </w:rPr>
        <w:footnoteRef/>
      </w:r>
      <w:r>
        <w:rPr>
          <w:rFonts w:ascii="Calibri" w:hAnsi="Calibri" w:cs="Calibri"/>
        </w:rPr>
        <w:t xml:space="preserve"> A more dtailed description of Melbourn can be found in the </w:t>
      </w:r>
      <w:r>
        <w:rPr>
          <w:rFonts w:ascii="Calibri" w:hAnsi="Calibri" w:cs="Calibri"/>
          <w:i/>
          <w:iCs/>
        </w:rPr>
        <w:t>Melbourn Village Plan</w:t>
      </w:r>
      <w:r>
        <w:rPr>
          <w:rFonts w:ascii="Calibri" w:hAnsi="Calibri" w:cs="Calibri"/>
        </w:rPr>
        <w:t xml:space="preserve"> (</w:t>
      </w:r>
      <w:hyperlink r:id="rId1" w:history="1">
        <w:r>
          <w:rPr>
            <w:rStyle w:val="Hyperlink"/>
            <w:rFonts w:ascii="Calibri" w:hAnsi="Calibri" w:cs="Calibri"/>
          </w:rPr>
          <w:t>http://melbourncambridge.co.uk/villageplan/plan2/</w:t>
        </w:r>
      </w:hyperlink>
      <w:r>
        <w:rPr>
          <w:rFonts w:ascii="Calibri" w:hAnsi="Calibri" w:cs="Calibri"/>
        </w:rPr>
        <w:t xml:space="preserve">) </w:t>
      </w:r>
    </w:p>
  </w:footnote>
  <w:footnote w:id="2">
    <w:p w:rsidR="00A83B67" w:rsidRDefault="00A83B67">
      <w:pPr>
        <w:pStyle w:val="FootnoteText"/>
        <w:rPr>
          <w:rFonts w:cs="Times New Roman"/>
        </w:rPr>
      </w:pPr>
      <w:r>
        <w:rPr>
          <w:rStyle w:val="FootnoteReference"/>
          <w:rFonts w:ascii="Calibri" w:hAnsi="Calibri" w:cs="Calibri"/>
        </w:rPr>
        <w:footnoteRef/>
      </w:r>
      <w:r>
        <w:rPr>
          <w:rFonts w:ascii="Calibri" w:hAnsi="Calibri" w:cs="Calibri"/>
        </w:rPr>
        <w:t xml:space="preserve"> Source: www.nestoria.co.uk</w:t>
      </w:r>
    </w:p>
  </w:footnote>
  <w:footnote w:id="3">
    <w:p w:rsidR="00A83B67" w:rsidRDefault="00A83B67">
      <w:pPr>
        <w:pStyle w:val="FootnoteText"/>
        <w:rPr>
          <w:rFonts w:cs="Times New Roman"/>
        </w:rPr>
      </w:pPr>
      <w:r>
        <w:rPr>
          <w:rStyle w:val="FootnoteReference"/>
          <w:rFonts w:ascii="Calibri" w:hAnsi="Calibri" w:cs="Calibri"/>
        </w:rPr>
        <w:footnoteRef/>
      </w:r>
      <w:r>
        <w:rPr>
          <w:rFonts w:ascii="Calibri" w:hAnsi="Calibri" w:cs="Calibri"/>
        </w:rPr>
        <w:t xml:space="preserve"> Source: www.rightmove.co.uk (as at 20-Dec-2011)</w:t>
      </w:r>
    </w:p>
  </w:footnote>
  <w:footnote w:id="4">
    <w:p w:rsidR="00A83B67" w:rsidRDefault="00A83B67">
      <w:pPr>
        <w:pStyle w:val="FootnoteText"/>
        <w:rPr>
          <w:rFonts w:cs="Times New Roman"/>
        </w:rPr>
      </w:pPr>
      <w:r>
        <w:rPr>
          <w:rStyle w:val="FootnoteReference"/>
          <w:rFonts w:ascii="Calibri" w:hAnsi="Calibri" w:cs="Calibri"/>
        </w:rPr>
        <w:footnoteRef/>
      </w:r>
      <w:r>
        <w:rPr>
          <w:rFonts w:ascii="Calibri" w:hAnsi="Calibri" w:cs="Calibri"/>
        </w:rPr>
        <w:t xml:space="preserve"> Source: </w:t>
      </w:r>
      <w:hyperlink r:id="rId2" w:history="1">
        <w:r>
          <w:rPr>
            <w:rFonts w:ascii="Calibri" w:hAnsi="Calibri" w:cs="Calibri"/>
          </w:rPr>
          <w:t>CACI</w:t>
        </w:r>
      </w:hyperlink>
      <w:r>
        <w:rPr>
          <w:rFonts w:ascii="Calibri" w:hAnsi="Calibri" w:cs="Calibri"/>
        </w:rPr>
        <w:t xml:space="preserve"> Paycheck 2009 </w:t>
      </w:r>
    </w:p>
  </w:footnote>
  <w:footnote w:id="5">
    <w:p w:rsidR="00A83B67" w:rsidRDefault="00A83B67">
      <w:pPr>
        <w:pStyle w:val="FootnoteText"/>
        <w:rPr>
          <w:rFonts w:cs="Times New Roman"/>
        </w:rPr>
      </w:pPr>
      <w:r>
        <w:rPr>
          <w:rStyle w:val="FootnoteReference"/>
          <w:rFonts w:ascii="Calibri" w:hAnsi="Calibri" w:cs="Calibri"/>
        </w:rPr>
        <w:footnoteRef/>
      </w:r>
      <w:r>
        <w:rPr>
          <w:rFonts w:ascii="Calibri" w:hAnsi="Calibri" w:cs="Calibri"/>
        </w:rPr>
        <w:t xml:space="preserve"> Source: Figures used taken from Orbit Homebuy Agents Comparison Tables, July 2011</w:t>
      </w:r>
    </w:p>
  </w:footnote>
  <w:footnote w:id="6">
    <w:p w:rsidR="00A83B67" w:rsidRDefault="00A83B67">
      <w:pPr>
        <w:pStyle w:val="FootnoteText"/>
        <w:rPr>
          <w:rFonts w:cs="Times New Roman"/>
        </w:rPr>
      </w:pPr>
      <w:r>
        <w:rPr>
          <w:rStyle w:val="FootnoteReference"/>
        </w:rPr>
        <w:footnoteRef/>
      </w:r>
      <w:r>
        <w:rPr>
          <w:rFonts w:cs="Times New Roman"/>
        </w:rPr>
        <w:t xml:space="preserve"> </w:t>
      </w:r>
      <w:r>
        <w:rPr>
          <w:rFonts w:ascii="Calibri" w:hAnsi="Calibri" w:cs="Calibri"/>
        </w:rPr>
        <w:t>Source: http://atlas.cambridgeshire.gov.uk/Housing/LHA/atlas.html</w:t>
      </w:r>
    </w:p>
  </w:footnote>
  <w:footnote w:id="7">
    <w:p w:rsidR="00A83B67" w:rsidRDefault="00A83B67">
      <w:pPr>
        <w:pStyle w:val="FootnoteText"/>
        <w:rPr>
          <w:rFonts w:cs="Times New Roman"/>
        </w:rPr>
      </w:pPr>
      <w:r>
        <w:rPr>
          <w:rStyle w:val="FootnoteReference"/>
          <w:rFonts w:ascii="Calibri" w:hAnsi="Calibri" w:cs="Calibri"/>
        </w:rPr>
        <w:footnoteRef/>
      </w:r>
      <w:r>
        <w:rPr>
          <w:rFonts w:ascii="Calibri" w:hAnsi="Calibri" w:cs="Calibri"/>
        </w:rPr>
        <w:t xml:space="preserve"> Source: http://atlas.cambridgeshire.gov.uk/Housing/LHA/atlas.html (for electoral ward of Melbourn, which includes the parishes of Melbourn, Great &amp; Little Chishill and Heydon)</w:t>
      </w:r>
    </w:p>
  </w:footnote>
  <w:footnote w:id="8">
    <w:p w:rsidR="00A83B67" w:rsidRDefault="00A83B67">
      <w:pPr>
        <w:pStyle w:val="FootnoteText"/>
        <w:rPr>
          <w:rFonts w:cs="Times New Roman"/>
        </w:rPr>
      </w:pPr>
      <w:r>
        <w:rPr>
          <w:rStyle w:val="FootnoteReference"/>
          <w:rFonts w:ascii="Calibri" w:hAnsi="Calibri" w:cs="Calibri"/>
        </w:rPr>
        <w:footnoteRef/>
      </w:r>
      <w:r>
        <w:rPr>
          <w:rFonts w:ascii="Calibri" w:hAnsi="Calibri" w:cs="Calibri"/>
        </w:rPr>
        <w:t xml:space="preserve"> Questions about housing and affordable housing development were also asked as part of the </w:t>
      </w:r>
      <w:r>
        <w:rPr>
          <w:rFonts w:ascii="Calibri" w:hAnsi="Calibri" w:cs="Calibri"/>
          <w:i/>
          <w:iCs/>
        </w:rPr>
        <w:t>Melbourn Village Plan</w:t>
      </w:r>
      <w:r>
        <w:rPr>
          <w:rFonts w:ascii="Calibri" w:hAnsi="Calibri" w:cs="Calibri"/>
        </w:rPr>
        <w:t xml:space="preserve"> consultation process. See </w:t>
      </w:r>
      <w:hyperlink r:id="rId3" w:history="1">
        <w:r>
          <w:rPr>
            <w:rStyle w:val="Hyperlink"/>
            <w:rFonts w:ascii="Calibri" w:hAnsi="Calibri" w:cs="Calibri"/>
          </w:rPr>
          <w:t>http://melbourncambridge.co.uk/villageplan/plan2/</w:t>
        </w:r>
      </w:hyperlink>
      <w:r>
        <w:rPr>
          <w:rFonts w:ascii="Calibri" w:hAnsi="Calibri" w:cs="Calibri"/>
        </w:rPr>
        <w:t xml:space="preserve"> for details. The results are broadly consistent with overall support for affordable homes for local people qualified by concerns over location, scale, facilities etc.</w:t>
      </w:r>
    </w:p>
  </w:footnote>
  <w:footnote w:id="9">
    <w:p w:rsidR="00A83B67" w:rsidRDefault="00A83B67">
      <w:pPr>
        <w:pStyle w:val="FootnoteText"/>
        <w:rPr>
          <w:rFonts w:cs="Times New Roman"/>
        </w:rPr>
      </w:pPr>
      <w:r>
        <w:rPr>
          <w:rStyle w:val="FootnoteReference"/>
          <w:rFonts w:ascii="Calibri" w:hAnsi="Calibri" w:cs="Calibri"/>
        </w:rPr>
        <w:footnoteRef/>
      </w:r>
      <w:r>
        <w:rPr>
          <w:rFonts w:ascii="Calibri" w:hAnsi="Calibri" w:cs="Calibri"/>
        </w:rPr>
        <w:t xml:space="preserve"> See </w:t>
      </w:r>
      <w:hyperlink r:id="rId4" w:history="1">
        <w:r>
          <w:rPr>
            <w:rStyle w:val="Hyperlink"/>
            <w:rFonts w:ascii="Calibri" w:hAnsi="Calibri" w:cs="Calibri"/>
          </w:rPr>
          <w:t>http://www.scambs.gov.uk/documents/retrieve.htm?pk_document=906206</w:t>
        </w:r>
      </w:hyperlink>
      <w:r>
        <w:rPr>
          <w:rFonts w:ascii="Calibri" w:hAnsi="Calibri" w:cs="Calibri"/>
        </w:rPr>
        <w:t xml:space="preserve"> </w:t>
      </w:r>
    </w:p>
  </w:footnote>
  <w:footnote w:id="10">
    <w:p w:rsidR="00A83B67" w:rsidRDefault="00A83B67">
      <w:pPr>
        <w:pStyle w:val="FootnoteText"/>
        <w:rPr>
          <w:rFonts w:cs="Times New Roman"/>
        </w:rPr>
      </w:pPr>
      <w:r>
        <w:rPr>
          <w:rStyle w:val="FootnoteReference"/>
          <w:rFonts w:ascii="Calibri" w:hAnsi="Calibri" w:cs="Calibri"/>
        </w:rPr>
        <w:footnoteRef/>
      </w:r>
      <w:r>
        <w:rPr>
          <w:rFonts w:ascii="Calibri" w:hAnsi="Calibri" w:cs="Calibri"/>
        </w:rPr>
        <w:t xml:space="preserve"> Codes used are F (Flat), H (House) and B (Bungalow)</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C27B4"/>
    <w:multiLevelType w:val="hybridMultilevel"/>
    <w:tmpl w:val="BD8E989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nsid w:val="05500836"/>
    <w:multiLevelType w:val="hybridMultilevel"/>
    <w:tmpl w:val="38E060C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066C11FD"/>
    <w:multiLevelType w:val="hybridMultilevel"/>
    <w:tmpl w:val="30CEA7EE"/>
    <w:lvl w:ilvl="0" w:tplc="D2D2379C">
      <w:start w:val="1"/>
      <w:numFmt w:val="lowerLetter"/>
      <w:lvlText w:val="(%1)"/>
      <w:lvlJc w:val="left"/>
      <w:pPr>
        <w:ind w:left="720" w:hanging="360"/>
      </w:pPr>
      <w:rPr>
        <w:rFonts w:ascii="Times New Roman" w:hAnsi="Times New Roman" w:cs="Times New Roman" w:hint="default"/>
        <w:b/>
        <w:bCs/>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3">
    <w:nsid w:val="091926A7"/>
    <w:multiLevelType w:val="hybridMultilevel"/>
    <w:tmpl w:val="4A90F87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
    <w:nsid w:val="099F49DD"/>
    <w:multiLevelType w:val="hybridMultilevel"/>
    <w:tmpl w:val="ABE86A7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0C914C1C"/>
    <w:multiLevelType w:val="hybridMultilevel"/>
    <w:tmpl w:val="26A26DDC"/>
    <w:lvl w:ilvl="0" w:tplc="D2D2379C">
      <w:start w:val="1"/>
      <w:numFmt w:val="lowerLetter"/>
      <w:lvlText w:val="(%1)"/>
      <w:lvlJc w:val="left"/>
      <w:pPr>
        <w:ind w:left="720" w:hanging="360"/>
      </w:pPr>
      <w:rPr>
        <w:rFonts w:ascii="Times New Roman" w:hAnsi="Times New Roman" w:cs="Times New Roman" w:hint="default"/>
        <w:b/>
        <w:bCs/>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6">
    <w:nsid w:val="0D3A2279"/>
    <w:multiLevelType w:val="hybridMultilevel"/>
    <w:tmpl w:val="BB10F5E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1116B60"/>
    <w:multiLevelType w:val="hybridMultilevel"/>
    <w:tmpl w:val="2EB405F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8">
    <w:nsid w:val="121D11E4"/>
    <w:multiLevelType w:val="hybridMultilevel"/>
    <w:tmpl w:val="37566EC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9">
    <w:nsid w:val="19451A72"/>
    <w:multiLevelType w:val="hybridMultilevel"/>
    <w:tmpl w:val="560A2D8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9CF40A3"/>
    <w:multiLevelType w:val="hybridMultilevel"/>
    <w:tmpl w:val="BA6C325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19F8775E"/>
    <w:multiLevelType w:val="hybridMultilevel"/>
    <w:tmpl w:val="2752C14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1AF432F7"/>
    <w:multiLevelType w:val="hybridMultilevel"/>
    <w:tmpl w:val="BD829BD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3">
    <w:nsid w:val="250D1C4D"/>
    <w:multiLevelType w:val="hybridMultilevel"/>
    <w:tmpl w:val="BF107E60"/>
    <w:lvl w:ilvl="0" w:tplc="D0BC3CEA">
      <w:start w:val="1"/>
      <w:numFmt w:val="bullet"/>
      <w:lvlText w:val=""/>
      <w:lvlJc w:val="left"/>
      <w:pPr>
        <w:ind w:left="360" w:hanging="360"/>
      </w:pPr>
      <w:rPr>
        <w:rFonts w:ascii="Symbol" w:hAnsi="Symbol" w:cs="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4">
    <w:nsid w:val="29B366E6"/>
    <w:multiLevelType w:val="hybridMultilevel"/>
    <w:tmpl w:val="94145CF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5">
    <w:nsid w:val="2E954E0C"/>
    <w:multiLevelType w:val="hybridMultilevel"/>
    <w:tmpl w:val="EE2479EA"/>
    <w:lvl w:ilvl="0" w:tplc="D2D2379C">
      <w:start w:val="1"/>
      <w:numFmt w:val="lowerLetter"/>
      <w:lvlText w:val="(%1)"/>
      <w:lvlJc w:val="left"/>
      <w:pPr>
        <w:ind w:left="720" w:hanging="360"/>
      </w:pPr>
      <w:rPr>
        <w:rFonts w:ascii="Times New Roman" w:hAnsi="Times New Roman" w:cs="Times New Roman" w:hint="default"/>
        <w:b/>
        <w:bCs/>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6">
    <w:nsid w:val="31182EAE"/>
    <w:multiLevelType w:val="hybridMultilevel"/>
    <w:tmpl w:val="F544EB6E"/>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7">
    <w:nsid w:val="38F36FEC"/>
    <w:multiLevelType w:val="hybridMultilevel"/>
    <w:tmpl w:val="2CAAEB3E"/>
    <w:lvl w:ilvl="0" w:tplc="3518487C">
      <w:start w:val="1"/>
      <w:numFmt w:val="bullet"/>
      <w:lvlText w:val=""/>
      <w:lvlJc w:val="left"/>
      <w:pPr>
        <w:tabs>
          <w:tab w:val="num" w:pos="-2160"/>
        </w:tabs>
        <w:ind w:left="-2160" w:hanging="360"/>
      </w:pPr>
      <w:rPr>
        <w:rFonts w:ascii="Symbol" w:hAnsi="Symbol" w:cs="Symbol" w:hint="default"/>
        <w:b w:val="0"/>
        <w:bCs w:val="0"/>
        <w:i w:val="0"/>
        <w:iCs w:val="0"/>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cs="Wingdings" w:hint="default"/>
      </w:rPr>
    </w:lvl>
    <w:lvl w:ilvl="3" w:tplc="04090001">
      <w:start w:val="1"/>
      <w:numFmt w:val="bullet"/>
      <w:lvlText w:val=""/>
      <w:lvlJc w:val="left"/>
      <w:pPr>
        <w:tabs>
          <w:tab w:val="num" w:pos="0"/>
        </w:tabs>
        <w:ind w:hanging="360"/>
      </w:pPr>
      <w:rPr>
        <w:rFonts w:ascii="Symbol" w:hAnsi="Symbol" w:cs="Symbol" w:hint="default"/>
      </w:rPr>
    </w:lvl>
    <w:lvl w:ilvl="4" w:tplc="04090003">
      <w:start w:val="1"/>
      <w:numFmt w:val="bullet"/>
      <w:lvlText w:val="o"/>
      <w:lvlJc w:val="left"/>
      <w:pPr>
        <w:tabs>
          <w:tab w:val="num" w:pos="720"/>
        </w:tabs>
        <w:ind w:left="720" w:hanging="360"/>
      </w:pPr>
      <w:rPr>
        <w:rFonts w:ascii="Courier New" w:hAnsi="Courier New" w:cs="Courier New" w:hint="default"/>
      </w:rPr>
    </w:lvl>
    <w:lvl w:ilvl="5" w:tplc="04090005">
      <w:start w:val="1"/>
      <w:numFmt w:val="bullet"/>
      <w:lvlText w:val=""/>
      <w:lvlJc w:val="left"/>
      <w:pPr>
        <w:tabs>
          <w:tab w:val="num" w:pos="1440"/>
        </w:tabs>
        <w:ind w:left="1440" w:hanging="360"/>
      </w:pPr>
      <w:rPr>
        <w:rFonts w:ascii="Wingdings" w:hAnsi="Wingdings" w:cs="Wingdings" w:hint="default"/>
      </w:rPr>
    </w:lvl>
    <w:lvl w:ilvl="6" w:tplc="04090001">
      <w:start w:val="1"/>
      <w:numFmt w:val="bullet"/>
      <w:lvlText w:val=""/>
      <w:lvlJc w:val="left"/>
      <w:pPr>
        <w:tabs>
          <w:tab w:val="num" w:pos="2160"/>
        </w:tabs>
        <w:ind w:left="2160" w:hanging="360"/>
      </w:pPr>
      <w:rPr>
        <w:rFonts w:ascii="Symbol" w:hAnsi="Symbol" w:cs="Symbol" w:hint="default"/>
      </w:rPr>
    </w:lvl>
    <w:lvl w:ilvl="7" w:tplc="04090003">
      <w:start w:val="1"/>
      <w:numFmt w:val="bullet"/>
      <w:lvlText w:val="o"/>
      <w:lvlJc w:val="left"/>
      <w:pPr>
        <w:tabs>
          <w:tab w:val="num" w:pos="2880"/>
        </w:tabs>
        <w:ind w:left="2880" w:hanging="360"/>
      </w:pPr>
      <w:rPr>
        <w:rFonts w:ascii="Courier New" w:hAnsi="Courier New" w:cs="Courier New" w:hint="default"/>
      </w:rPr>
    </w:lvl>
    <w:lvl w:ilvl="8" w:tplc="04090005">
      <w:start w:val="1"/>
      <w:numFmt w:val="bullet"/>
      <w:lvlText w:val=""/>
      <w:lvlJc w:val="left"/>
      <w:pPr>
        <w:tabs>
          <w:tab w:val="num" w:pos="3600"/>
        </w:tabs>
        <w:ind w:left="3600" w:hanging="360"/>
      </w:pPr>
      <w:rPr>
        <w:rFonts w:ascii="Wingdings" w:hAnsi="Wingdings" w:cs="Wingdings" w:hint="default"/>
      </w:rPr>
    </w:lvl>
  </w:abstractNum>
  <w:abstractNum w:abstractNumId="18">
    <w:nsid w:val="394C554E"/>
    <w:multiLevelType w:val="hybridMultilevel"/>
    <w:tmpl w:val="A352FE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3C596CBC"/>
    <w:multiLevelType w:val="hybridMultilevel"/>
    <w:tmpl w:val="D108B1AC"/>
    <w:lvl w:ilvl="0" w:tplc="08090011">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20">
    <w:nsid w:val="3E2B2865"/>
    <w:multiLevelType w:val="hybridMultilevel"/>
    <w:tmpl w:val="BAA498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1145996"/>
    <w:multiLevelType w:val="hybridMultilevel"/>
    <w:tmpl w:val="53E4BFC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nsid w:val="41300579"/>
    <w:multiLevelType w:val="hybridMultilevel"/>
    <w:tmpl w:val="23EA09F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nsid w:val="51C41679"/>
    <w:multiLevelType w:val="hybridMultilevel"/>
    <w:tmpl w:val="979A67B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nsid w:val="554F0FE5"/>
    <w:multiLevelType w:val="hybridMultilevel"/>
    <w:tmpl w:val="CC84A39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5">
    <w:nsid w:val="5607195F"/>
    <w:multiLevelType w:val="hybridMultilevel"/>
    <w:tmpl w:val="1B98001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6">
    <w:nsid w:val="5B4B03D4"/>
    <w:multiLevelType w:val="multilevel"/>
    <w:tmpl w:val="F9862E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5B7E3420"/>
    <w:multiLevelType w:val="hybridMultilevel"/>
    <w:tmpl w:val="EB72FB72"/>
    <w:lvl w:ilvl="0" w:tplc="8D9286C0">
      <w:start w:val="1"/>
      <w:numFmt w:val="upperLetter"/>
      <w:lvlText w:val="(%1)"/>
      <w:lvlJc w:val="left"/>
      <w:pPr>
        <w:ind w:left="360" w:hanging="360"/>
      </w:pPr>
      <w:rPr>
        <w:rFonts w:ascii="Times New Roman" w:hAnsi="Times New Roman" w:cs="Times New Roman" w:hint="default"/>
      </w:rPr>
    </w:lvl>
    <w:lvl w:ilvl="1" w:tplc="08090019">
      <w:start w:val="1"/>
      <w:numFmt w:val="lowerLetter"/>
      <w:lvlText w:val="%2."/>
      <w:lvlJc w:val="left"/>
      <w:pPr>
        <w:ind w:left="1080" w:hanging="360"/>
      </w:pPr>
      <w:rPr>
        <w:rFonts w:ascii="Times New Roman" w:hAnsi="Times New Roman" w:cs="Times New Roman"/>
      </w:rPr>
    </w:lvl>
    <w:lvl w:ilvl="2" w:tplc="0809001B">
      <w:start w:val="1"/>
      <w:numFmt w:val="lowerRoman"/>
      <w:lvlText w:val="%3."/>
      <w:lvlJc w:val="right"/>
      <w:pPr>
        <w:ind w:left="1800" w:hanging="180"/>
      </w:pPr>
      <w:rPr>
        <w:rFonts w:ascii="Times New Roman" w:hAnsi="Times New Roman" w:cs="Times New Roman"/>
      </w:rPr>
    </w:lvl>
    <w:lvl w:ilvl="3" w:tplc="0809000F">
      <w:start w:val="1"/>
      <w:numFmt w:val="decimal"/>
      <w:lvlText w:val="%4."/>
      <w:lvlJc w:val="left"/>
      <w:pPr>
        <w:ind w:left="2520" w:hanging="360"/>
      </w:pPr>
      <w:rPr>
        <w:rFonts w:ascii="Times New Roman" w:hAnsi="Times New Roman" w:cs="Times New Roman"/>
      </w:rPr>
    </w:lvl>
    <w:lvl w:ilvl="4" w:tplc="08090019">
      <w:start w:val="1"/>
      <w:numFmt w:val="lowerLetter"/>
      <w:lvlText w:val="%5."/>
      <w:lvlJc w:val="left"/>
      <w:pPr>
        <w:ind w:left="3240" w:hanging="360"/>
      </w:pPr>
      <w:rPr>
        <w:rFonts w:ascii="Times New Roman" w:hAnsi="Times New Roman" w:cs="Times New Roman"/>
      </w:rPr>
    </w:lvl>
    <w:lvl w:ilvl="5" w:tplc="0809001B">
      <w:start w:val="1"/>
      <w:numFmt w:val="lowerRoman"/>
      <w:lvlText w:val="%6."/>
      <w:lvlJc w:val="right"/>
      <w:pPr>
        <w:ind w:left="3960" w:hanging="180"/>
      </w:pPr>
      <w:rPr>
        <w:rFonts w:ascii="Times New Roman" w:hAnsi="Times New Roman" w:cs="Times New Roman"/>
      </w:rPr>
    </w:lvl>
    <w:lvl w:ilvl="6" w:tplc="0809000F">
      <w:start w:val="1"/>
      <w:numFmt w:val="decimal"/>
      <w:lvlText w:val="%7."/>
      <w:lvlJc w:val="left"/>
      <w:pPr>
        <w:ind w:left="4680" w:hanging="360"/>
      </w:pPr>
      <w:rPr>
        <w:rFonts w:ascii="Times New Roman" w:hAnsi="Times New Roman" w:cs="Times New Roman"/>
      </w:rPr>
    </w:lvl>
    <w:lvl w:ilvl="7" w:tplc="08090019">
      <w:start w:val="1"/>
      <w:numFmt w:val="lowerLetter"/>
      <w:lvlText w:val="%8."/>
      <w:lvlJc w:val="left"/>
      <w:pPr>
        <w:ind w:left="5400" w:hanging="360"/>
      </w:pPr>
      <w:rPr>
        <w:rFonts w:ascii="Times New Roman" w:hAnsi="Times New Roman" w:cs="Times New Roman"/>
      </w:rPr>
    </w:lvl>
    <w:lvl w:ilvl="8" w:tplc="0809001B">
      <w:start w:val="1"/>
      <w:numFmt w:val="lowerRoman"/>
      <w:lvlText w:val="%9."/>
      <w:lvlJc w:val="right"/>
      <w:pPr>
        <w:ind w:left="6120" w:hanging="180"/>
      </w:pPr>
      <w:rPr>
        <w:rFonts w:ascii="Times New Roman" w:hAnsi="Times New Roman" w:cs="Times New Roman"/>
      </w:rPr>
    </w:lvl>
  </w:abstractNum>
  <w:abstractNum w:abstractNumId="28">
    <w:nsid w:val="5D4B5764"/>
    <w:multiLevelType w:val="hybridMultilevel"/>
    <w:tmpl w:val="5BB809C8"/>
    <w:lvl w:ilvl="0" w:tplc="9B4425EC">
      <w:start w:val="1"/>
      <w:numFmt w:val="bullet"/>
      <w:lvlText w:val=""/>
      <w:lvlJc w:val="left"/>
      <w:pPr>
        <w:ind w:left="720" w:hanging="360"/>
      </w:pPr>
      <w:rPr>
        <w:rFonts w:ascii="Symbol" w:hAnsi="Symbol" w:cs="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nsid w:val="5D4F6BA6"/>
    <w:multiLevelType w:val="hybridMultilevel"/>
    <w:tmpl w:val="B52CF82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nsid w:val="5FCE2E8B"/>
    <w:multiLevelType w:val="multilevel"/>
    <w:tmpl w:val="497A533E"/>
    <w:lvl w:ilvl="0">
      <w:start w:val="1"/>
      <w:numFmt w:val="decimal"/>
      <w:lvlText w:val="%1."/>
      <w:lvlJc w:val="left"/>
      <w:pPr>
        <w:ind w:left="425" w:hanging="425"/>
      </w:pPr>
      <w:rPr>
        <w:rFonts w:ascii="Calibri" w:hAnsi="Calibri" w:cs="Calibri" w:hint="default"/>
        <w:b w:val="0"/>
        <w:bCs w:val="0"/>
        <w:i w:val="0"/>
        <w:iCs w:val="0"/>
        <w:sz w:val="24"/>
        <w:szCs w:val="24"/>
      </w:rPr>
    </w:lvl>
    <w:lvl w:ilvl="1">
      <w:start w:val="1"/>
      <w:numFmt w:val="decimal"/>
      <w:lvlText w:val="%1.%2."/>
      <w:lvlJc w:val="left"/>
      <w:pPr>
        <w:ind w:left="850" w:hanging="425"/>
      </w:pPr>
      <w:rPr>
        <w:rFonts w:ascii="Calibri" w:hAnsi="Calibri" w:cs="Calibri" w:hint="default"/>
        <w:b w:val="0"/>
        <w:bCs w:val="0"/>
        <w:i w:val="0"/>
        <w:iCs w:val="0"/>
        <w:sz w:val="24"/>
        <w:szCs w:val="24"/>
      </w:rPr>
    </w:lvl>
    <w:lvl w:ilvl="2">
      <w:start w:val="1"/>
      <w:numFmt w:val="decimal"/>
      <w:suff w:val="space"/>
      <w:lvlText w:val="%1.%2.%3."/>
      <w:lvlJc w:val="left"/>
      <w:pPr>
        <w:ind w:left="1275" w:hanging="425"/>
      </w:pPr>
      <w:rPr>
        <w:rFonts w:ascii="Calibri" w:hAnsi="Calibri" w:cs="Calibri" w:hint="default"/>
        <w:b w:val="0"/>
        <w:bCs w:val="0"/>
        <w:i w:val="0"/>
        <w:iCs w:val="0"/>
        <w:sz w:val="24"/>
        <w:szCs w:val="24"/>
      </w:rPr>
    </w:lvl>
    <w:lvl w:ilvl="3">
      <w:start w:val="1"/>
      <w:numFmt w:val="decimal"/>
      <w:lvlText w:val="%1.%2.%3.%4."/>
      <w:lvlJc w:val="left"/>
      <w:pPr>
        <w:ind w:left="1700" w:hanging="425"/>
      </w:pPr>
      <w:rPr>
        <w:rFonts w:ascii="Times New Roman" w:hAnsi="Times New Roman" w:cs="Times New Roman" w:hint="default"/>
      </w:rPr>
    </w:lvl>
    <w:lvl w:ilvl="4">
      <w:start w:val="1"/>
      <w:numFmt w:val="decimal"/>
      <w:lvlText w:val="%1.%2.%3.%4.%5."/>
      <w:lvlJc w:val="left"/>
      <w:pPr>
        <w:ind w:left="2125" w:hanging="425"/>
      </w:pPr>
      <w:rPr>
        <w:rFonts w:ascii="Times New Roman" w:hAnsi="Times New Roman" w:cs="Times New Roman" w:hint="default"/>
      </w:rPr>
    </w:lvl>
    <w:lvl w:ilvl="5">
      <w:start w:val="1"/>
      <w:numFmt w:val="decimal"/>
      <w:lvlText w:val="%1.%2.%3.%4.%5.%6."/>
      <w:lvlJc w:val="left"/>
      <w:pPr>
        <w:ind w:left="2550" w:hanging="425"/>
      </w:pPr>
      <w:rPr>
        <w:rFonts w:ascii="Times New Roman" w:hAnsi="Times New Roman" w:cs="Times New Roman" w:hint="default"/>
      </w:rPr>
    </w:lvl>
    <w:lvl w:ilvl="6">
      <w:start w:val="1"/>
      <w:numFmt w:val="decimal"/>
      <w:lvlText w:val="%1.%2.%3.%4.%5.%6.%7."/>
      <w:lvlJc w:val="left"/>
      <w:pPr>
        <w:ind w:left="2975" w:hanging="425"/>
      </w:pPr>
      <w:rPr>
        <w:rFonts w:ascii="Times New Roman" w:hAnsi="Times New Roman" w:cs="Times New Roman" w:hint="default"/>
      </w:rPr>
    </w:lvl>
    <w:lvl w:ilvl="7">
      <w:start w:val="1"/>
      <w:numFmt w:val="decimal"/>
      <w:lvlText w:val="%1.%2.%3.%4.%5.%6.%7.%8."/>
      <w:lvlJc w:val="left"/>
      <w:pPr>
        <w:ind w:left="3400" w:hanging="425"/>
      </w:pPr>
      <w:rPr>
        <w:rFonts w:ascii="Times New Roman" w:hAnsi="Times New Roman" w:cs="Times New Roman" w:hint="default"/>
      </w:rPr>
    </w:lvl>
    <w:lvl w:ilvl="8">
      <w:start w:val="1"/>
      <w:numFmt w:val="decimal"/>
      <w:lvlText w:val="%1.%2.%3.%4.%5.%6.%7.%8.%9."/>
      <w:lvlJc w:val="left"/>
      <w:pPr>
        <w:ind w:left="3825" w:hanging="425"/>
      </w:pPr>
      <w:rPr>
        <w:rFonts w:ascii="Times New Roman" w:hAnsi="Times New Roman" w:cs="Times New Roman" w:hint="default"/>
      </w:rPr>
    </w:lvl>
  </w:abstractNum>
  <w:abstractNum w:abstractNumId="31">
    <w:nsid w:val="61E31ADF"/>
    <w:multiLevelType w:val="hybridMultilevel"/>
    <w:tmpl w:val="1F04554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2">
    <w:nsid w:val="6E562AD7"/>
    <w:multiLevelType w:val="hybridMultilevel"/>
    <w:tmpl w:val="8B141ED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3">
    <w:nsid w:val="70425C6F"/>
    <w:multiLevelType w:val="hybridMultilevel"/>
    <w:tmpl w:val="650027D0"/>
    <w:lvl w:ilvl="0" w:tplc="1EF87E00">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4">
    <w:nsid w:val="762651BA"/>
    <w:multiLevelType w:val="hybridMultilevel"/>
    <w:tmpl w:val="01045BA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num w:numId="1">
    <w:abstractNumId w:val="17"/>
  </w:num>
  <w:num w:numId="2">
    <w:abstractNumId w:val="4"/>
  </w:num>
  <w:num w:numId="3">
    <w:abstractNumId w:val="1"/>
  </w:num>
  <w:num w:numId="4">
    <w:abstractNumId w:val="33"/>
  </w:num>
  <w:num w:numId="5">
    <w:abstractNumId w:val="10"/>
  </w:num>
  <w:num w:numId="6">
    <w:abstractNumId w:val="6"/>
  </w:num>
  <w:num w:numId="7">
    <w:abstractNumId w:val="9"/>
  </w:num>
  <w:num w:numId="8">
    <w:abstractNumId w:val="18"/>
  </w:num>
  <w:num w:numId="9">
    <w:abstractNumId w:val="12"/>
  </w:num>
  <w:num w:numId="10">
    <w:abstractNumId w:val="23"/>
  </w:num>
  <w:num w:numId="11">
    <w:abstractNumId w:val="20"/>
  </w:num>
  <w:num w:numId="12">
    <w:abstractNumId w:val="11"/>
  </w:num>
  <w:num w:numId="13">
    <w:abstractNumId w:val="26"/>
  </w:num>
  <w:num w:numId="14">
    <w:abstractNumId w:val="29"/>
  </w:num>
  <w:num w:numId="15">
    <w:abstractNumId w:val="3"/>
  </w:num>
  <w:num w:numId="16">
    <w:abstractNumId w:val="8"/>
  </w:num>
  <w:num w:numId="17">
    <w:abstractNumId w:val="27"/>
  </w:num>
  <w:num w:numId="18">
    <w:abstractNumId w:val="30"/>
  </w:num>
  <w:num w:numId="19">
    <w:abstractNumId w:val="19"/>
  </w:num>
  <w:num w:numId="20">
    <w:abstractNumId w:val="28"/>
  </w:num>
  <w:num w:numId="21">
    <w:abstractNumId w:val="15"/>
  </w:num>
  <w:num w:numId="22">
    <w:abstractNumId w:val="5"/>
  </w:num>
  <w:num w:numId="23">
    <w:abstractNumId w:val="2"/>
  </w:num>
  <w:num w:numId="24">
    <w:abstractNumId w:val="25"/>
  </w:num>
  <w:num w:numId="25">
    <w:abstractNumId w:val="13"/>
  </w:num>
  <w:num w:numId="26">
    <w:abstractNumId w:val="7"/>
  </w:num>
  <w:num w:numId="27">
    <w:abstractNumId w:val="32"/>
  </w:num>
  <w:num w:numId="28">
    <w:abstractNumId w:val="34"/>
  </w:num>
  <w:num w:numId="29">
    <w:abstractNumId w:val="16"/>
  </w:num>
  <w:num w:numId="30">
    <w:abstractNumId w:val="21"/>
  </w:num>
  <w:num w:numId="31">
    <w:abstractNumId w:val="14"/>
  </w:num>
  <w:num w:numId="32">
    <w:abstractNumId w:val="31"/>
  </w:num>
  <w:num w:numId="33">
    <w:abstractNumId w:val="0"/>
  </w:num>
  <w:num w:numId="34">
    <w:abstractNumId w:val="22"/>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3B67"/>
    <w:rsid w:val="00A83B6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Times New Roman" w:hAnsi="Times New Roman"/>
      <w:sz w:val="24"/>
      <w:szCs w:val="24"/>
      <w:lang w:eastAsia="en-US"/>
    </w:rPr>
  </w:style>
  <w:style w:type="paragraph" w:styleId="Heading1">
    <w:name w:val="heading 1"/>
    <w:basedOn w:val="Normal"/>
    <w:next w:val="Normal"/>
    <w:link w:val="Heading1Char"/>
    <w:uiPriority w:val="99"/>
    <w:qFormat/>
    <w:pPr>
      <w:keepNext/>
      <w:jc w:val="center"/>
      <w:outlineLvl w:val="0"/>
    </w:pPr>
    <w:rPr>
      <w:rFonts w:ascii="Tahoma" w:hAnsi="Tahoma" w:cs="Tahoma"/>
      <w:sz w:val="40"/>
      <w:szCs w:val="40"/>
    </w:rPr>
  </w:style>
  <w:style w:type="paragraph" w:styleId="Heading2">
    <w:name w:val="heading 2"/>
    <w:basedOn w:val="Normal"/>
    <w:next w:val="Normal"/>
    <w:link w:val="Heading2Char"/>
    <w:uiPriority w:val="99"/>
    <w:qFormat/>
    <w:pPr>
      <w:keepNext/>
      <w:outlineLvl w:val="1"/>
    </w:pPr>
    <w:rPr>
      <w:rFonts w:ascii="Tahoma" w:hAnsi="Tahoma" w:cs="Tahoma"/>
      <w:b/>
      <w:bCs/>
      <w:sz w:val="20"/>
      <w:szCs w:val="20"/>
    </w:rPr>
  </w:style>
  <w:style w:type="paragraph" w:styleId="Heading3">
    <w:name w:val="heading 3"/>
    <w:basedOn w:val="Normal"/>
    <w:next w:val="Normal"/>
    <w:link w:val="Heading3Char"/>
    <w:uiPriority w:val="99"/>
    <w:qFormat/>
    <w:pPr>
      <w:keepNext/>
      <w:outlineLvl w:val="2"/>
    </w:pPr>
    <w:rPr>
      <w:rFonts w:ascii="Tahoma" w:hAnsi="Tahoma" w:cs="Tahoma"/>
      <w:b/>
      <w:bCs/>
    </w:rPr>
  </w:style>
  <w:style w:type="paragraph" w:styleId="Heading4">
    <w:name w:val="heading 4"/>
    <w:basedOn w:val="Normal"/>
    <w:next w:val="Normal"/>
    <w:link w:val="Heading4Char"/>
    <w:uiPriority w:val="99"/>
    <w:qFormat/>
    <w:pPr>
      <w:keepNext/>
      <w:outlineLvl w:val="3"/>
    </w:pPr>
    <w:rPr>
      <w:rFonts w:ascii="Tahoma" w:hAnsi="Tahoma" w:cs="Tahoma"/>
      <w:i/>
      <w:iCs/>
      <w:sz w:val="20"/>
      <w:szCs w:val="20"/>
      <w:u w:val="single"/>
    </w:rPr>
  </w:style>
  <w:style w:type="paragraph" w:styleId="Heading5">
    <w:name w:val="heading 5"/>
    <w:basedOn w:val="Normal"/>
    <w:next w:val="Normal"/>
    <w:link w:val="Heading5Char"/>
    <w:uiPriority w:val="99"/>
    <w:qFormat/>
    <w:pPr>
      <w:keepNext/>
      <w:outlineLvl w:val="4"/>
    </w:pPr>
    <w:rPr>
      <w:rFonts w:ascii="Tahoma" w:hAnsi="Tahoma" w:cs="Tahoma"/>
      <w:b/>
      <w:bCs/>
      <w:sz w:val="20"/>
      <w:szCs w:val="20"/>
      <w:u w:val="single"/>
    </w:rPr>
  </w:style>
  <w:style w:type="paragraph" w:styleId="Heading6">
    <w:name w:val="heading 6"/>
    <w:basedOn w:val="Normal"/>
    <w:next w:val="Normal"/>
    <w:link w:val="Heading6Char"/>
    <w:uiPriority w:val="99"/>
    <w:qFormat/>
    <w:pPr>
      <w:keepNext/>
      <w:outlineLvl w:val="5"/>
    </w:pPr>
    <w:rPr>
      <w:rFonts w:ascii="Tahoma" w:hAnsi="Tahoma" w:cs="Tahoma"/>
      <w:i/>
      <w:iCs/>
      <w:sz w:val="20"/>
      <w:szCs w:val="20"/>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B6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83B67"/>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83B67"/>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83B67"/>
    <w:rPr>
      <w:b/>
      <w:bCs/>
      <w:sz w:val="28"/>
      <w:szCs w:val="28"/>
      <w:lang w:eastAsia="en-US"/>
    </w:rPr>
  </w:style>
  <w:style w:type="character" w:customStyle="1" w:styleId="Heading5Char">
    <w:name w:val="Heading 5 Char"/>
    <w:basedOn w:val="DefaultParagraphFont"/>
    <w:link w:val="Heading5"/>
    <w:uiPriority w:val="99"/>
    <w:rPr>
      <w:rFonts w:ascii="Tahoma" w:hAnsi="Tahoma" w:cs="Tahoma"/>
      <w:b/>
      <w:bCs/>
      <w:sz w:val="24"/>
      <w:szCs w:val="24"/>
      <w:u w:val="single"/>
      <w:lang w:val="en-GB"/>
    </w:rPr>
  </w:style>
  <w:style w:type="character" w:customStyle="1" w:styleId="Heading6Char">
    <w:name w:val="Heading 6 Char"/>
    <w:basedOn w:val="DefaultParagraphFont"/>
    <w:link w:val="Heading6"/>
    <w:uiPriority w:val="99"/>
    <w:rPr>
      <w:rFonts w:ascii="Tahoma" w:hAnsi="Tahoma" w:cs="Tahoma"/>
      <w:i/>
      <w:iCs/>
      <w:sz w:val="24"/>
      <w:szCs w:val="24"/>
      <w:lang w:val="en-GB"/>
    </w:rPr>
  </w:style>
  <w:style w:type="paragraph" w:styleId="Title">
    <w:name w:val="Title"/>
    <w:basedOn w:val="Normal"/>
    <w:link w:val="TitleChar"/>
    <w:uiPriority w:val="99"/>
    <w:qFormat/>
    <w:pPr>
      <w:jc w:val="center"/>
    </w:pPr>
    <w:rPr>
      <w:rFonts w:ascii="Tahoma" w:hAnsi="Tahoma" w:cs="Tahoma"/>
      <w:sz w:val="52"/>
      <w:szCs w:val="52"/>
    </w:rPr>
  </w:style>
  <w:style w:type="character" w:customStyle="1" w:styleId="TitleChar">
    <w:name w:val="Title Char"/>
    <w:basedOn w:val="DefaultParagraphFont"/>
    <w:link w:val="Title"/>
    <w:uiPriority w:val="10"/>
    <w:rsid w:val="00A83B67"/>
    <w:rPr>
      <w:rFonts w:asciiTheme="majorHAnsi" w:eastAsiaTheme="majorEastAsia" w:hAnsiTheme="majorHAnsi" w:cstheme="majorBidi"/>
      <w:b/>
      <w:bCs/>
      <w:kern w:val="28"/>
      <w:sz w:val="32"/>
      <w:szCs w:val="32"/>
      <w:lang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hAnsi="Times New Roman" w:cs="Times New Roman"/>
      <w:sz w:val="24"/>
      <w:szCs w:val="24"/>
      <w:lang w:val="en-G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Times New Roman" w:hAnsi="Times New Roman" w:cs="Times New Roman"/>
      <w:sz w:val="24"/>
      <w:szCs w:val="24"/>
      <w:lang w:val="en-GB"/>
    </w:rPr>
  </w:style>
  <w:style w:type="character" w:styleId="PageNumber">
    <w:name w:val="page number"/>
    <w:basedOn w:val="DefaultParagraphFont"/>
    <w:uiPriority w:val="99"/>
    <w:rPr>
      <w:rFonts w:ascii="Times New Roman" w:hAnsi="Times New Roman" w:cs="Times New Roman"/>
    </w:rPr>
  </w:style>
  <w:style w:type="paragraph" w:styleId="BodyText">
    <w:name w:val="Body Text"/>
    <w:basedOn w:val="Normal"/>
    <w:link w:val="BodyTextChar"/>
    <w:uiPriority w:val="99"/>
    <w:rPr>
      <w:rFonts w:ascii="Tahoma" w:hAnsi="Tahoma" w:cs="Tahoma"/>
      <w:sz w:val="20"/>
      <w:szCs w:val="20"/>
    </w:rPr>
  </w:style>
  <w:style w:type="character" w:customStyle="1" w:styleId="BodyTextChar">
    <w:name w:val="Body Text Char"/>
    <w:basedOn w:val="DefaultParagraphFont"/>
    <w:link w:val="BodyText"/>
    <w:uiPriority w:val="99"/>
    <w:semiHidden/>
    <w:rsid w:val="00A83B67"/>
    <w:rPr>
      <w:rFonts w:ascii="Times New Roman" w:hAnsi="Times New Roman"/>
      <w:sz w:val="24"/>
      <w:szCs w:val="24"/>
      <w:lang w:eastAsia="en-US"/>
    </w:rPr>
  </w:style>
  <w:style w:type="paragraph" w:styleId="BodyText2">
    <w:name w:val="Body Text 2"/>
    <w:basedOn w:val="Normal"/>
    <w:link w:val="BodyText2Char"/>
    <w:uiPriority w:val="99"/>
    <w:rPr>
      <w:rFonts w:ascii="Tahoma" w:hAnsi="Tahoma" w:cs="Tahoma"/>
      <w:b/>
      <w:bCs/>
      <w:sz w:val="20"/>
      <w:szCs w:val="20"/>
    </w:rPr>
  </w:style>
  <w:style w:type="character" w:customStyle="1" w:styleId="BodyText2Char">
    <w:name w:val="Body Text 2 Char"/>
    <w:basedOn w:val="DefaultParagraphFont"/>
    <w:link w:val="BodyText2"/>
    <w:uiPriority w:val="99"/>
    <w:semiHidden/>
    <w:rsid w:val="00A83B67"/>
    <w:rPr>
      <w:rFonts w:ascii="Times New Roman" w:hAnsi="Times New Roman"/>
      <w:sz w:val="24"/>
      <w:szCs w:val="24"/>
      <w:lang w:eastAsia="en-US"/>
    </w:rPr>
  </w:style>
  <w:style w:type="paragraph" w:styleId="BodyText3">
    <w:name w:val="Body Text 3"/>
    <w:basedOn w:val="Normal"/>
    <w:link w:val="BodyText3Char"/>
    <w:uiPriority w:val="99"/>
    <w:rPr>
      <w:rFonts w:ascii="Tahoma" w:hAnsi="Tahoma" w:cs="Tahoma"/>
      <w:i/>
      <w:iCs/>
      <w:sz w:val="20"/>
      <w:szCs w:val="20"/>
      <w:u w:val="single"/>
    </w:rPr>
  </w:style>
  <w:style w:type="character" w:customStyle="1" w:styleId="BodyText3Char">
    <w:name w:val="Body Text 3 Char"/>
    <w:basedOn w:val="DefaultParagraphFont"/>
    <w:link w:val="BodyText3"/>
    <w:uiPriority w:val="99"/>
    <w:semiHidden/>
    <w:rsid w:val="00A83B67"/>
    <w:rPr>
      <w:rFonts w:ascii="Times New Roman" w:hAnsi="Times New Roman"/>
      <w:sz w:val="16"/>
      <w:szCs w:val="16"/>
      <w:lang w:eastAsia="en-US"/>
    </w:rPr>
  </w:style>
  <w:style w:type="paragraph" w:styleId="Caption">
    <w:name w:val="caption"/>
    <w:basedOn w:val="Normal"/>
    <w:next w:val="Normal"/>
    <w:uiPriority w:val="99"/>
    <w:qFormat/>
    <w:rPr>
      <w:rFonts w:ascii="Tahoma" w:hAnsi="Tahoma" w:cs="Tahoma"/>
      <w:b/>
      <w:bCs/>
      <w:sz w:val="20"/>
      <w:szCs w:val="20"/>
      <w:u w:val="single"/>
    </w:rPr>
  </w:style>
  <w:style w:type="character" w:styleId="Hyperlink">
    <w:name w:val="Hyperlink"/>
    <w:basedOn w:val="DefaultParagraphFont"/>
    <w:uiPriority w:val="99"/>
    <w:rPr>
      <w:rFonts w:ascii="Times New Roman" w:hAnsi="Times New Roman" w:cs="Times New Roman"/>
      <w:color w:val="0000FF"/>
      <w:u w:val="single"/>
    </w:rPr>
  </w:style>
  <w:style w:type="paragraph" w:customStyle="1" w:styleId="QHdr">
    <w:name w:val="QHdr"/>
    <w:basedOn w:val="Normal"/>
    <w:uiPriority w:val="99"/>
    <w:pPr>
      <w:tabs>
        <w:tab w:val="num" w:pos="360"/>
        <w:tab w:val="right" w:pos="7740"/>
        <w:tab w:val="left" w:pos="8460"/>
        <w:tab w:val="right" w:pos="9720"/>
        <w:tab w:val="right" w:pos="10440"/>
      </w:tabs>
      <w:spacing w:before="60"/>
      <w:ind w:left="360" w:hanging="432"/>
      <w:outlineLvl w:val="0"/>
    </w:pPr>
    <w:rPr>
      <w:rFonts w:ascii="Arial" w:hAnsi="Arial" w:cs="Arial"/>
      <w:b/>
      <w:bCs/>
    </w:r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en-GB"/>
    </w:rPr>
  </w:style>
  <w:style w:type="paragraph" w:styleId="ListParagraph">
    <w:name w:val="List Paragraph"/>
    <w:basedOn w:val="Normal"/>
    <w:uiPriority w:val="99"/>
    <w:qFormat/>
    <w:pPr>
      <w:ind w:left="720"/>
    </w:pPr>
  </w:style>
  <w:style w:type="paragraph" w:styleId="NormalWeb">
    <w:name w:val="Normal (Web)"/>
    <w:basedOn w:val="Normal"/>
    <w:uiPriority w:val="99"/>
    <w:pPr>
      <w:spacing w:before="100" w:beforeAutospacing="1" w:after="100" w:afterAutospacing="1"/>
    </w:pPr>
    <w:rPr>
      <w:color w:val="000000"/>
      <w:lang w:val="en-US"/>
    </w:rPr>
  </w:style>
  <w:style w:type="character" w:customStyle="1" w:styleId="hprtxt1">
    <w:name w:val="hprtxt1"/>
    <w:basedOn w:val="DefaultParagraphFont"/>
    <w:uiPriority w:val="99"/>
    <w:rPr>
      <w:rFonts w:ascii="Times New Roman" w:hAnsi="Times New Roman" w:cs="Times New Roman"/>
      <w:sz w:val="11"/>
      <w:szCs w:val="11"/>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lang w:val="en-GB"/>
    </w:rPr>
  </w:style>
  <w:style w:type="character" w:styleId="FootnoteReference">
    <w:name w:val="footnote reference"/>
    <w:basedOn w:val="DefaultParagraphFont"/>
    <w:uiPriority w:val="99"/>
    <w:rPr>
      <w:rFonts w:ascii="Times New Roman" w:hAnsi="Times New Roman" w:cs="Times New Roman"/>
      <w:vertAlign w:val="superscript"/>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lang w:val="en-GB"/>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melbourncambridge.co.uk/villageplan/plan2/" TargetMode="External"/><Relationship Id="rId2" Type="http://schemas.openxmlformats.org/officeDocument/2006/relationships/hyperlink" Target="http://www.nestoria.co.uk" TargetMode="External"/><Relationship Id="rId1" Type="http://schemas.openxmlformats.org/officeDocument/2006/relationships/hyperlink" Target="http://melbourncambridge.co.uk/villageplan/plan2/" TargetMode="External"/><Relationship Id="rId4" Type="http://schemas.openxmlformats.org/officeDocument/2006/relationships/hyperlink" Target="http://www.scambs.gov.uk/documents/retrieve.htm?pk_document=906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20</Pages>
  <Words>0</Words>
  <Characters>0</Characters>
  <Application>Microsoft Office Outlook</Application>
  <DocSecurity>0</DocSecurity>
  <Lines>0</Lines>
  <Paragraphs>0</Paragraphs>
  <ScaleCrop>false</ScaleCrop>
  <Company>Cambridgeshire ACRE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dc:title>
  <dc:subject/>
  <dc:creator>Alison Brown</dc:creator>
  <cp:keywords/>
  <dc:description/>
  <cp:lastModifiedBy>andrea buckley</cp:lastModifiedBy>
  <cp:revision>2</cp:revision>
  <cp:lastPrinted>2011-12-22T13:45:00Z</cp:lastPrinted>
  <dcterms:created xsi:type="dcterms:W3CDTF">2012-01-11T10:00:00Z</dcterms:created>
  <dcterms:modified xsi:type="dcterms:W3CDTF">2012-01-11T10:00:00Z</dcterms:modified>
</cp:coreProperties>
</file>