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FFF" w:rsidRDefault="00F23FFF">
      <w:pPr>
        <w:rPr>
          <w:rFonts w:ascii="Arial" w:hAnsi="Arial" w:cs="Arial"/>
          <w:b/>
          <w:color w:val="000080"/>
        </w:rPr>
      </w:pPr>
    </w:p>
    <w:p w:rsidR="00F23FFF" w:rsidRDefault="003552BC">
      <w:pPr>
        <w:rPr>
          <w:rFonts w:ascii="Arial" w:hAnsi="Arial" w:cs="Arial"/>
          <w:b/>
          <w:color w:val="000080"/>
          <w:sz w:val="32"/>
        </w:rPr>
      </w:pPr>
      <w:r>
        <w:rPr>
          <w:rFonts w:ascii="Arial" w:hAnsi="Arial" w:cs="Arial"/>
          <w:b/>
          <w:color w:val="000080"/>
          <w:sz w:val="32"/>
        </w:rPr>
        <w:t>Statement of Accounts for year ended 31 March 201</w:t>
      </w:r>
      <w:r w:rsidR="00343B89">
        <w:rPr>
          <w:rFonts w:ascii="Arial" w:hAnsi="Arial" w:cs="Arial"/>
          <w:b/>
          <w:color w:val="000080"/>
          <w:sz w:val="32"/>
        </w:rPr>
        <w:t>4</w:t>
      </w:r>
    </w:p>
    <w:p w:rsidR="00F23FFF" w:rsidRDefault="00F23FFF">
      <w:pPr>
        <w:rPr>
          <w:rFonts w:ascii="Arial" w:hAnsi="Arial" w:cs="Arial"/>
          <w:b/>
          <w:color w:val="000080"/>
          <w:sz w:val="32"/>
        </w:rPr>
      </w:pPr>
    </w:p>
    <w:p w:rsidR="00F23FFF" w:rsidRDefault="00F23FFF">
      <w:pPr>
        <w:rPr>
          <w:rFonts w:ascii="Arial" w:hAnsi="Arial" w:cs="Arial"/>
          <w:b/>
          <w:color w:val="000080"/>
          <w:sz w:val="32"/>
        </w:rPr>
      </w:pPr>
    </w:p>
    <w:p w:rsidR="00F23FFF" w:rsidRDefault="00F23FFF">
      <w:pPr>
        <w:rPr>
          <w:rFonts w:ascii="Arial" w:hAnsi="Arial" w:cs="Arial"/>
          <w:b/>
          <w:color w:val="000080"/>
          <w:sz w:val="32"/>
        </w:rPr>
      </w:pPr>
    </w:p>
    <w:p w:rsidR="00F23FFF" w:rsidRDefault="00F23FFF">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63"/>
        <w:gridCol w:w="1134"/>
      </w:tblGrid>
      <w:tr w:rsidR="00F23FFF">
        <w:tc>
          <w:tcPr>
            <w:tcW w:w="7763" w:type="dxa"/>
            <w:tcBorders>
              <w:right w:val="single" w:sz="4" w:space="0" w:color="auto"/>
            </w:tcBorders>
          </w:tcPr>
          <w:p w:rsidR="004F6F9A" w:rsidRDefault="004F6F9A">
            <w:pPr>
              <w:pStyle w:val="Header"/>
              <w:tabs>
                <w:tab w:val="clear" w:pos="4153"/>
                <w:tab w:val="clear" w:pos="8306"/>
              </w:tabs>
              <w:rPr>
                <w:rFonts w:ascii="Arial" w:hAnsi="Arial" w:cs="Arial"/>
                <w:b/>
                <w:color w:val="000000"/>
                <w:sz w:val="24"/>
              </w:rPr>
            </w:pPr>
          </w:p>
          <w:p w:rsidR="00F23FFF" w:rsidRDefault="003552BC">
            <w:pPr>
              <w:pStyle w:val="Header"/>
              <w:tabs>
                <w:tab w:val="clear" w:pos="4153"/>
                <w:tab w:val="clear" w:pos="8306"/>
              </w:tabs>
              <w:rPr>
                <w:rFonts w:ascii="Arial" w:hAnsi="Arial" w:cs="Arial"/>
                <w:color w:val="000000"/>
                <w:sz w:val="24"/>
              </w:rPr>
            </w:pPr>
            <w:r>
              <w:rPr>
                <w:rFonts w:ascii="Arial" w:hAnsi="Arial" w:cs="Arial"/>
                <w:b/>
                <w:color w:val="000000"/>
                <w:sz w:val="24"/>
              </w:rPr>
              <w:t>Contents</w:t>
            </w:r>
          </w:p>
        </w:tc>
        <w:tc>
          <w:tcPr>
            <w:tcW w:w="1134" w:type="dxa"/>
            <w:tcBorders>
              <w:top w:val="single" w:sz="4" w:space="0" w:color="auto"/>
              <w:left w:val="single" w:sz="4" w:space="0" w:color="auto"/>
              <w:bottom w:val="nil"/>
            </w:tcBorders>
          </w:tcPr>
          <w:p w:rsidR="004F6F9A" w:rsidRDefault="004F6F9A">
            <w:pPr>
              <w:pStyle w:val="Header"/>
              <w:tabs>
                <w:tab w:val="clear" w:pos="4153"/>
                <w:tab w:val="clear" w:pos="8306"/>
              </w:tabs>
              <w:jc w:val="center"/>
              <w:rPr>
                <w:rFonts w:ascii="Arial" w:hAnsi="Arial" w:cs="Arial"/>
                <w:b/>
                <w:bCs/>
                <w:color w:val="000000"/>
                <w:sz w:val="22"/>
              </w:rPr>
            </w:pPr>
          </w:p>
          <w:p w:rsidR="00F23FFF" w:rsidRDefault="003552BC">
            <w:pPr>
              <w:pStyle w:val="Header"/>
              <w:tabs>
                <w:tab w:val="clear" w:pos="4153"/>
                <w:tab w:val="clear" w:pos="8306"/>
              </w:tabs>
              <w:jc w:val="center"/>
              <w:rPr>
                <w:rFonts w:ascii="Arial" w:hAnsi="Arial" w:cs="Arial"/>
                <w:color w:val="000000"/>
                <w:sz w:val="22"/>
              </w:rPr>
            </w:pPr>
            <w:r>
              <w:rPr>
                <w:rFonts w:ascii="Arial" w:hAnsi="Arial" w:cs="Arial"/>
                <w:b/>
                <w:bCs/>
                <w:color w:val="000000"/>
                <w:sz w:val="22"/>
              </w:rPr>
              <w:t>Page Number</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Explanatory Foreword</w:t>
            </w:r>
          </w:p>
          <w:p w:rsidR="00F23FFF" w:rsidRDefault="00F23FFF">
            <w:pPr>
              <w:pStyle w:val="Header"/>
              <w:tabs>
                <w:tab w:val="clear" w:pos="4153"/>
                <w:tab w:val="clear" w:pos="8306"/>
              </w:tabs>
              <w:rPr>
                <w:rFonts w:ascii="Arial" w:hAnsi="Arial" w:cs="Arial"/>
                <w:color w:val="000000"/>
                <w:sz w:val="22"/>
              </w:rPr>
            </w:pPr>
          </w:p>
        </w:tc>
        <w:tc>
          <w:tcPr>
            <w:tcW w:w="1134" w:type="dxa"/>
            <w:tcBorders>
              <w:top w:val="nil"/>
              <w:left w:val="single" w:sz="4" w:space="0" w:color="auto"/>
              <w:bottom w:val="nil"/>
            </w:tcBorders>
          </w:tcPr>
          <w:p w:rsidR="00F23FFF" w:rsidRDefault="003552BC">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2</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Statement of Responsibilities</w:t>
            </w:r>
          </w:p>
          <w:p w:rsidR="00F23FFF" w:rsidRDefault="00F23FFF">
            <w:pPr>
              <w:pStyle w:val="Header"/>
              <w:tabs>
                <w:tab w:val="clear" w:pos="4153"/>
                <w:tab w:val="clear" w:pos="8306"/>
              </w:tabs>
              <w:rPr>
                <w:rFonts w:ascii="Arial" w:hAnsi="Arial" w:cs="Arial"/>
                <w:color w:val="000000"/>
                <w:sz w:val="22"/>
              </w:rPr>
            </w:pPr>
          </w:p>
        </w:tc>
        <w:tc>
          <w:tcPr>
            <w:tcW w:w="1134" w:type="dxa"/>
            <w:tcBorders>
              <w:top w:val="nil"/>
              <w:left w:val="single" w:sz="4" w:space="0" w:color="auto"/>
              <w:bottom w:val="nil"/>
            </w:tcBorders>
          </w:tcPr>
          <w:p w:rsidR="00F23FFF" w:rsidRDefault="008616F1"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1</w:t>
            </w:r>
            <w:r w:rsidR="00FC486F">
              <w:rPr>
                <w:rFonts w:ascii="Arial" w:hAnsi="Arial" w:cs="Arial"/>
                <w:color w:val="000000"/>
                <w:sz w:val="22"/>
              </w:rPr>
              <w:t>2</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Auditors Report</w:t>
            </w:r>
          </w:p>
        </w:tc>
        <w:tc>
          <w:tcPr>
            <w:tcW w:w="1134" w:type="dxa"/>
            <w:tcBorders>
              <w:top w:val="nil"/>
              <w:left w:val="single" w:sz="4" w:space="0" w:color="auto"/>
              <w:bottom w:val="nil"/>
            </w:tcBorders>
          </w:tcPr>
          <w:p w:rsidR="00F23FFF" w:rsidRDefault="003552BC">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1</w:t>
            </w:r>
            <w:r w:rsidR="00FC486F">
              <w:rPr>
                <w:rFonts w:ascii="Arial" w:hAnsi="Arial" w:cs="Arial"/>
                <w:color w:val="000000"/>
                <w:sz w:val="22"/>
              </w:rPr>
              <w:t>3</w:t>
            </w:r>
          </w:p>
          <w:p w:rsidR="00F23FFF" w:rsidRDefault="00F23FFF">
            <w:pPr>
              <w:pStyle w:val="Header"/>
              <w:tabs>
                <w:tab w:val="clear" w:pos="4153"/>
                <w:tab w:val="clear" w:pos="8306"/>
              </w:tabs>
              <w:jc w:val="center"/>
              <w:rPr>
                <w:rFonts w:ascii="Arial" w:hAnsi="Arial" w:cs="Arial"/>
                <w:color w:val="000000"/>
                <w:sz w:val="22"/>
                <w:highlight w:val="yellow"/>
              </w:rPr>
            </w:pP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Main Financial Statements</w:t>
            </w:r>
          </w:p>
          <w:p w:rsidR="00F23FFF" w:rsidRDefault="00F23FFF">
            <w:pPr>
              <w:pStyle w:val="Header"/>
              <w:tabs>
                <w:tab w:val="clear" w:pos="4153"/>
                <w:tab w:val="clear" w:pos="8306"/>
              </w:tabs>
              <w:rPr>
                <w:rFonts w:ascii="Arial" w:hAnsi="Arial" w:cs="Arial"/>
                <w:color w:val="000000"/>
                <w:sz w:val="22"/>
              </w:rPr>
            </w:pPr>
          </w:p>
        </w:tc>
        <w:tc>
          <w:tcPr>
            <w:tcW w:w="1134" w:type="dxa"/>
            <w:tcBorders>
              <w:top w:val="nil"/>
              <w:left w:val="single" w:sz="4" w:space="0" w:color="auto"/>
              <w:bottom w:val="nil"/>
            </w:tcBorders>
          </w:tcPr>
          <w:p w:rsidR="00F23FFF" w:rsidRDefault="003552BC"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1</w:t>
            </w:r>
            <w:r w:rsidR="00FC486F">
              <w:rPr>
                <w:rFonts w:ascii="Arial" w:hAnsi="Arial" w:cs="Arial"/>
                <w:color w:val="000000"/>
                <w:sz w:val="22"/>
              </w:rPr>
              <w:t>6</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Movement in Reserves Statement</w:t>
            </w:r>
          </w:p>
          <w:p w:rsidR="00F23FFF" w:rsidRDefault="00F23FFF">
            <w:pPr>
              <w:pStyle w:val="Header"/>
              <w:tabs>
                <w:tab w:val="clear" w:pos="4153"/>
                <w:tab w:val="clear" w:pos="8306"/>
              </w:tabs>
              <w:rPr>
                <w:rFonts w:ascii="Arial" w:hAnsi="Arial" w:cs="Arial"/>
                <w:color w:val="000000"/>
                <w:sz w:val="22"/>
              </w:rPr>
            </w:pPr>
          </w:p>
        </w:tc>
        <w:tc>
          <w:tcPr>
            <w:tcW w:w="1134" w:type="dxa"/>
            <w:tcBorders>
              <w:top w:val="nil"/>
              <w:left w:val="single" w:sz="4" w:space="0" w:color="auto"/>
              <w:bottom w:val="nil"/>
            </w:tcBorders>
          </w:tcPr>
          <w:p w:rsidR="00F23FFF" w:rsidRDefault="003552BC"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1</w:t>
            </w:r>
            <w:r w:rsidR="00FC486F">
              <w:rPr>
                <w:rFonts w:ascii="Arial" w:hAnsi="Arial" w:cs="Arial"/>
                <w:color w:val="000000"/>
                <w:sz w:val="22"/>
              </w:rPr>
              <w:t>7</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Comprehensive Income and Expenditure Statement</w:t>
            </w:r>
          </w:p>
          <w:p w:rsidR="00F23FFF" w:rsidRDefault="00F23FFF">
            <w:pPr>
              <w:pStyle w:val="Header"/>
              <w:tabs>
                <w:tab w:val="clear" w:pos="4153"/>
                <w:tab w:val="clear" w:pos="8306"/>
              </w:tabs>
              <w:rPr>
                <w:rFonts w:ascii="Arial" w:hAnsi="Arial" w:cs="Arial"/>
                <w:color w:val="000000"/>
                <w:sz w:val="22"/>
              </w:rPr>
            </w:pPr>
          </w:p>
        </w:tc>
        <w:tc>
          <w:tcPr>
            <w:tcW w:w="1134" w:type="dxa"/>
            <w:tcBorders>
              <w:top w:val="nil"/>
              <w:left w:val="single" w:sz="4" w:space="0" w:color="auto"/>
              <w:bottom w:val="nil"/>
            </w:tcBorders>
          </w:tcPr>
          <w:p w:rsidR="00F23FFF" w:rsidRDefault="003552BC"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1</w:t>
            </w:r>
            <w:r w:rsidR="00FC486F">
              <w:rPr>
                <w:rFonts w:ascii="Arial" w:hAnsi="Arial" w:cs="Arial"/>
                <w:color w:val="000000"/>
                <w:sz w:val="22"/>
              </w:rPr>
              <w:t>8</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Balance Sheet</w:t>
            </w:r>
          </w:p>
          <w:p w:rsidR="00F23FFF" w:rsidRDefault="00F23FFF">
            <w:pPr>
              <w:pStyle w:val="Header"/>
              <w:tabs>
                <w:tab w:val="clear" w:pos="4153"/>
                <w:tab w:val="clear" w:pos="8306"/>
              </w:tabs>
              <w:rPr>
                <w:rFonts w:ascii="Arial" w:hAnsi="Arial" w:cs="Arial"/>
                <w:color w:val="000000"/>
                <w:sz w:val="22"/>
              </w:rPr>
            </w:pPr>
          </w:p>
        </w:tc>
        <w:tc>
          <w:tcPr>
            <w:tcW w:w="1134" w:type="dxa"/>
            <w:tcBorders>
              <w:top w:val="nil"/>
              <w:left w:val="single" w:sz="4" w:space="0" w:color="auto"/>
              <w:bottom w:val="nil"/>
            </w:tcBorders>
          </w:tcPr>
          <w:p w:rsidR="00F23FFF" w:rsidRDefault="003552BC"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1</w:t>
            </w:r>
            <w:r w:rsidR="00FC486F">
              <w:rPr>
                <w:rFonts w:ascii="Arial" w:hAnsi="Arial" w:cs="Arial"/>
                <w:color w:val="000000"/>
                <w:sz w:val="22"/>
              </w:rPr>
              <w:t>9</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Cash Flow Statement</w:t>
            </w:r>
          </w:p>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 xml:space="preserve">         </w:t>
            </w:r>
          </w:p>
        </w:tc>
        <w:tc>
          <w:tcPr>
            <w:tcW w:w="1134" w:type="dxa"/>
            <w:tcBorders>
              <w:top w:val="nil"/>
              <w:left w:val="single" w:sz="4" w:space="0" w:color="auto"/>
              <w:bottom w:val="nil"/>
            </w:tcBorders>
          </w:tcPr>
          <w:p w:rsidR="00F23FFF" w:rsidRDefault="008616F1"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2</w:t>
            </w:r>
            <w:r w:rsidR="00FC486F">
              <w:rPr>
                <w:rFonts w:ascii="Arial" w:hAnsi="Arial" w:cs="Arial"/>
                <w:color w:val="000000"/>
                <w:sz w:val="22"/>
              </w:rPr>
              <w:t>1</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Notes to Main Financial Statements</w:t>
            </w:r>
            <w:r>
              <w:rPr>
                <w:rFonts w:ascii="Arial" w:hAnsi="Arial" w:cs="Arial"/>
                <w:color w:val="000000"/>
                <w:sz w:val="22"/>
                <w:highlight w:val="yellow"/>
              </w:rPr>
              <w:t xml:space="preserve">     </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nil"/>
            </w:tcBorders>
          </w:tcPr>
          <w:p w:rsidR="00F23FFF" w:rsidRDefault="008616F1"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2</w:t>
            </w:r>
            <w:r w:rsidR="00FC486F">
              <w:rPr>
                <w:rFonts w:ascii="Arial" w:hAnsi="Arial" w:cs="Arial"/>
                <w:color w:val="000000"/>
                <w:sz w:val="22"/>
              </w:rPr>
              <w:t>2</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Supplementary Financial Statements</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nil"/>
            </w:tcBorders>
          </w:tcPr>
          <w:p w:rsidR="00F23FFF" w:rsidRDefault="00132F80"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8</w:t>
            </w:r>
            <w:r w:rsidR="00FC486F">
              <w:rPr>
                <w:rFonts w:ascii="Arial" w:hAnsi="Arial" w:cs="Arial"/>
                <w:color w:val="000000"/>
                <w:sz w:val="22"/>
              </w:rPr>
              <w:t>2</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Housing Revenue Income and Expenditure Account</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nil"/>
            </w:tcBorders>
          </w:tcPr>
          <w:p w:rsidR="00F23FFF" w:rsidRDefault="00132F80"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8</w:t>
            </w:r>
            <w:r w:rsidR="00FC486F">
              <w:rPr>
                <w:rFonts w:ascii="Arial" w:hAnsi="Arial" w:cs="Arial"/>
                <w:color w:val="000000"/>
                <w:sz w:val="22"/>
              </w:rPr>
              <w:t>3</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rPr>
            </w:pPr>
            <w:r>
              <w:rPr>
                <w:rFonts w:ascii="Arial" w:hAnsi="Arial" w:cs="Arial"/>
                <w:color w:val="000000"/>
                <w:sz w:val="22"/>
              </w:rPr>
              <w:t>Statement of Movement on Housing Revenue Income and</w:t>
            </w:r>
          </w:p>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 xml:space="preserve">        Expenditure Account</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nil"/>
            </w:tcBorders>
          </w:tcPr>
          <w:p w:rsidR="00F23FFF" w:rsidRDefault="00132F80"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8</w:t>
            </w:r>
            <w:r w:rsidR="00FC486F">
              <w:rPr>
                <w:rFonts w:ascii="Arial" w:hAnsi="Arial" w:cs="Arial"/>
                <w:color w:val="000000"/>
                <w:sz w:val="22"/>
              </w:rPr>
              <w:t>4</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Collection Fund</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nil"/>
            </w:tcBorders>
          </w:tcPr>
          <w:p w:rsidR="00F23FFF" w:rsidRDefault="003048B9"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8</w:t>
            </w:r>
            <w:r w:rsidR="00FC486F">
              <w:rPr>
                <w:rFonts w:ascii="Arial" w:hAnsi="Arial" w:cs="Arial"/>
                <w:color w:val="000000"/>
                <w:sz w:val="22"/>
              </w:rPr>
              <w:t>5</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Notes to Supplementary Financial Statements</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nil"/>
            </w:tcBorders>
          </w:tcPr>
          <w:p w:rsidR="00F23FFF" w:rsidRDefault="003048B9"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8</w:t>
            </w:r>
            <w:r w:rsidR="00FC486F">
              <w:rPr>
                <w:rFonts w:ascii="Arial" w:hAnsi="Arial" w:cs="Arial"/>
                <w:color w:val="000000"/>
                <w:sz w:val="22"/>
              </w:rPr>
              <w:t>7</w:t>
            </w:r>
          </w:p>
        </w:tc>
      </w:tr>
      <w:tr w:rsidR="00F23FFF">
        <w:tc>
          <w:tcPr>
            <w:tcW w:w="7763" w:type="dxa"/>
            <w:tcBorders>
              <w:right w:val="single" w:sz="4" w:space="0" w:color="auto"/>
            </w:tcBorders>
          </w:tcPr>
          <w:p w:rsidR="00F23FFF" w:rsidRDefault="003552BC">
            <w:pPr>
              <w:pStyle w:val="Header"/>
              <w:tabs>
                <w:tab w:val="clear" w:pos="4153"/>
                <w:tab w:val="clear" w:pos="8306"/>
              </w:tabs>
              <w:rPr>
                <w:rFonts w:ascii="Arial" w:hAnsi="Arial" w:cs="Arial"/>
                <w:color w:val="000000"/>
                <w:sz w:val="22"/>
                <w:highlight w:val="yellow"/>
              </w:rPr>
            </w:pPr>
            <w:r>
              <w:rPr>
                <w:rFonts w:ascii="Arial" w:hAnsi="Arial" w:cs="Arial"/>
                <w:color w:val="000000"/>
                <w:sz w:val="22"/>
              </w:rPr>
              <w:t>Glossary of Financial Terms and Abbreviations</w:t>
            </w:r>
          </w:p>
          <w:p w:rsidR="00F23FFF" w:rsidRDefault="00F23FFF">
            <w:pPr>
              <w:pStyle w:val="Header"/>
              <w:tabs>
                <w:tab w:val="clear" w:pos="4153"/>
                <w:tab w:val="clear" w:pos="8306"/>
              </w:tabs>
              <w:rPr>
                <w:rFonts w:ascii="Arial" w:hAnsi="Arial" w:cs="Arial"/>
                <w:color w:val="000000"/>
                <w:sz w:val="22"/>
                <w:highlight w:val="yellow"/>
              </w:rPr>
            </w:pPr>
          </w:p>
        </w:tc>
        <w:tc>
          <w:tcPr>
            <w:tcW w:w="1134" w:type="dxa"/>
            <w:tcBorders>
              <w:top w:val="nil"/>
              <w:left w:val="single" w:sz="4" w:space="0" w:color="auto"/>
              <w:bottom w:val="single" w:sz="4" w:space="0" w:color="auto"/>
            </w:tcBorders>
          </w:tcPr>
          <w:p w:rsidR="00F23FFF" w:rsidRDefault="003048B9" w:rsidP="00FC486F">
            <w:pPr>
              <w:pStyle w:val="Header"/>
              <w:tabs>
                <w:tab w:val="clear" w:pos="4153"/>
                <w:tab w:val="clear" w:pos="8306"/>
              </w:tabs>
              <w:jc w:val="center"/>
              <w:rPr>
                <w:rFonts w:ascii="Arial" w:hAnsi="Arial" w:cs="Arial"/>
                <w:color w:val="000000"/>
                <w:sz w:val="22"/>
                <w:highlight w:val="yellow"/>
              </w:rPr>
            </w:pPr>
            <w:r>
              <w:rPr>
                <w:rFonts w:ascii="Arial" w:hAnsi="Arial" w:cs="Arial"/>
                <w:color w:val="000000"/>
                <w:sz w:val="22"/>
              </w:rPr>
              <w:t>9</w:t>
            </w:r>
            <w:r w:rsidR="00FC486F">
              <w:rPr>
                <w:rFonts w:ascii="Arial" w:hAnsi="Arial" w:cs="Arial"/>
                <w:color w:val="000000"/>
                <w:sz w:val="22"/>
              </w:rPr>
              <w:t>5</w:t>
            </w:r>
          </w:p>
        </w:tc>
      </w:tr>
    </w:tbl>
    <w:p w:rsidR="00F23FFF" w:rsidRDefault="00F23FFF">
      <w:pPr>
        <w:pStyle w:val="xl26"/>
        <w:pBdr>
          <w:bottom w:val="none" w:sz="0" w:space="0" w:color="auto"/>
        </w:pBdr>
        <w:spacing w:before="0" w:beforeAutospacing="0" w:after="0" w:afterAutospacing="0"/>
        <w:rPr>
          <w:rFonts w:ascii="Arial" w:hAnsi="Arial" w:cs="Arial"/>
          <w:sz w:val="22"/>
          <w:szCs w:val="20"/>
        </w:rPr>
      </w:pPr>
    </w:p>
    <w:p w:rsidR="00F23FFF" w:rsidRDefault="00F23FFF">
      <w:pPr>
        <w:pStyle w:val="xl26"/>
        <w:pBdr>
          <w:bottom w:val="none" w:sz="0" w:space="0" w:color="auto"/>
        </w:pBdr>
        <w:spacing w:before="0" w:beforeAutospacing="0" w:after="0" w:afterAutospacing="0"/>
        <w:rPr>
          <w:rFonts w:ascii="Arial" w:hAnsi="Arial" w:cs="Arial"/>
          <w:sz w:val="22"/>
          <w:szCs w:val="20"/>
        </w:rPr>
      </w:pPr>
    </w:p>
    <w:p w:rsidR="00F23FFF" w:rsidRDefault="00F23FFF">
      <w:pPr>
        <w:pStyle w:val="xl26"/>
        <w:pBdr>
          <w:bottom w:val="none" w:sz="0" w:space="0" w:color="auto"/>
        </w:pBdr>
        <w:spacing w:before="0" w:beforeAutospacing="0" w:after="0" w:afterAutospacing="0"/>
        <w:rPr>
          <w:rFonts w:ascii="Arial" w:hAnsi="Arial" w:cs="Arial"/>
          <w:sz w:val="22"/>
          <w:szCs w:val="20"/>
        </w:rPr>
      </w:pPr>
    </w:p>
    <w:p w:rsidR="00F23FFF" w:rsidRDefault="00F23FFF">
      <w:pPr>
        <w:pStyle w:val="xl26"/>
        <w:pBdr>
          <w:bottom w:val="none" w:sz="0" w:space="0" w:color="auto"/>
        </w:pBdr>
        <w:spacing w:before="0" w:beforeAutospacing="0" w:after="0" w:afterAutospacing="0"/>
        <w:rPr>
          <w:rFonts w:ascii="Arial" w:hAnsi="Arial" w:cs="Arial"/>
          <w:sz w:val="22"/>
          <w:szCs w:val="20"/>
        </w:rPr>
      </w:pPr>
    </w:p>
    <w:p w:rsidR="00F23FFF" w:rsidRDefault="003552BC">
      <w:pPr>
        <w:rPr>
          <w:rFonts w:ascii="Arial" w:hAnsi="Arial" w:cs="Arial"/>
          <w:sz w:val="22"/>
        </w:rPr>
      </w:pPr>
      <w:r>
        <w:rPr>
          <w:rFonts w:ascii="Arial" w:hAnsi="Arial" w:cs="Arial"/>
          <w:sz w:val="22"/>
        </w:rPr>
        <w:t>South Cambridgeshire District Council</w:t>
      </w:r>
    </w:p>
    <w:p w:rsidR="00F23FFF" w:rsidRDefault="00FB2359">
      <w:pPr>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43904" behindDoc="0" locked="0" layoutInCell="1" allowOverlap="1">
                <wp:simplePos x="0" y="0"/>
                <wp:positionH relativeFrom="column">
                  <wp:posOffset>3151505</wp:posOffset>
                </wp:positionH>
                <wp:positionV relativeFrom="paragraph">
                  <wp:posOffset>128905</wp:posOffset>
                </wp:positionV>
                <wp:extent cx="2171700" cy="457200"/>
                <wp:effectExtent l="0" t="0" r="0" b="0"/>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FFFFFF"/>
                          </a:solidFill>
                          <a:miter lim="800000"/>
                          <a:headEnd/>
                          <a:tailEnd/>
                        </a:ln>
                      </wps:spPr>
                      <wps:txbx>
                        <w:txbxContent>
                          <w:p w:rsidR="005E33C5" w:rsidRDefault="005E33C5">
                            <w:pPr>
                              <w:rPr>
                                <w:rFonts w:ascii="Arial" w:hAnsi="Arial" w:cs="Arial"/>
                                <w:sz w:val="22"/>
                              </w:rPr>
                            </w:pPr>
                            <w:r>
                              <w:rPr>
                                <w:rFonts w:ascii="Arial" w:hAnsi="Arial" w:cs="Arial"/>
                                <w:sz w:val="22"/>
                              </w:rPr>
                              <w:t>Telephone: 01954 713 076</w:t>
                            </w:r>
                          </w:p>
                          <w:p w:rsidR="005E33C5" w:rsidRDefault="00011CA1">
                            <w:pPr>
                              <w:rPr>
                                <w:rFonts w:ascii="Arial" w:hAnsi="Arial" w:cs="Arial"/>
                                <w:color w:val="000080"/>
                                <w:sz w:val="22"/>
                              </w:rPr>
                            </w:pPr>
                            <w:hyperlink r:id="rId9" w:history="1">
                              <w:r w:rsidR="005E33C5">
                                <w:rPr>
                                  <w:rStyle w:val="Hyperlink"/>
                                  <w:rFonts w:ascii="Arial" w:hAnsi="Arial" w:cs="Arial"/>
                                  <w:sz w:val="22"/>
                                </w:rPr>
                                <w:t>www.scambs.gov.uk</w:t>
                              </w:r>
                            </w:hyperlink>
                            <w:r w:rsidR="005E33C5">
                              <w:rPr>
                                <w:rFonts w:ascii="Arial" w:hAnsi="Arial" w:cs="Arial"/>
                                <w:sz w:val="22"/>
                              </w:rPr>
                              <w:t xml:space="preserve"> </w:t>
                            </w:r>
                          </w:p>
                          <w:p w:rsidR="005E33C5" w:rsidRDefault="005E3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248.15pt;margin-top:10.15pt;width:171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" strokecolor="white">
                <v:textbox>
                  <w:txbxContent>
                    <w:p w:rsidR="005E33C5" w:rsidRDefault="005E33C5">
                      <w:pPr>
                        <w:rPr>
                          <w:rFonts w:ascii="Arial" w:hAnsi="Arial" w:cs="Arial"/>
                          <w:sz w:val="22"/>
                        </w:rPr>
                      </w:pPr>
                      <w:r>
                        <w:rPr>
                          <w:rFonts w:ascii="Arial" w:hAnsi="Arial" w:cs="Arial"/>
                          <w:sz w:val="22"/>
                        </w:rPr>
                        <w:t>Telephone: 01954 713 076</w:t>
                      </w:r>
                    </w:p>
                    <w:p w:rsidR="005E33C5" w:rsidRDefault="005E33C5">
                      <w:pPr>
                        <w:rPr>
                          <w:rFonts w:ascii="Arial" w:hAnsi="Arial" w:cs="Arial"/>
                          <w:color w:val="000080"/>
                          <w:sz w:val="22"/>
                        </w:rPr>
                      </w:pPr>
                      <w:hyperlink r:id="rId10" w:history="1">
                        <w:r>
                          <w:rPr>
                            <w:rStyle w:val="Hyperlink"/>
                            <w:rFonts w:ascii="Arial" w:hAnsi="Arial" w:cs="Arial"/>
                            <w:sz w:val="22"/>
                          </w:rPr>
                          <w:t>www.scambs.gov.uk</w:t>
                        </w:r>
                      </w:hyperlink>
                      <w:r>
                        <w:rPr>
                          <w:rFonts w:ascii="Arial" w:hAnsi="Arial" w:cs="Arial"/>
                          <w:sz w:val="22"/>
                        </w:rPr>
                        <w:t xml:space="preserve"> </w:t>
                      </w:r>
                    </w:p>
                    <w:p w:rsidR="005E33C5" w:rsidRDefault="005E33C5"/>
                  </w:txbxContent>
                </v:textbox>
                <w10:wrap type="square"/>
              </v:shape>
            </w:pict>
          </mc:Fallback>
        </mc:AlternateContent>
      </w:r>
      <w:r w:rsidR="003552BC">
        <w:rPr>
          <w:rFonts w:ascii="Arial" w:hAnsi="Arial" w:cs="Arial"/>
          <w:sz w:val="22"/>
        </w:rPr>
        <w:t>South Cambridgeshire Hall</w:t>
      </w:r>
    </w:p>
    <w:p w:rsidR="00F23FFF" w:rsidRDefault="003552BC">
      <w:pPr>
        <w:rPr>
          <w:rFonts w:ascii="Arial" w:hAnsi="Arial" w:cs="Arial"/>
          <w:sz w:val="22"/>
        </w:rPr>
      </w:pPr>
      <w:r>
        <w:rPr>
          <w:rFonts w:ascii="Arial" w:hAnsi="Arial" w:cs="Arial"/>
          <w:sz w:val="22"/>
        </w:rPr>
        <w:t>Cambourne Business Park</w:t>
      </w:r>
    </w:p>
    <w:p w:rsidR="00F23FFF" w:rsidRDefault="003552BC">
      <w:pPr>
        <w:rPr>
          <w:rFonts w:ascii="Arial" w:hAnsi="Arial" w:cs="Arial"/>
          <w:sz w:val="22"/>
        </w:rPr>
      </w:pPr>
      <w:r>
        <w:rPr>
          <w:rFonts w:ascii="Arial" w:hAnsi="Arial" w:cs="Arial"/>
          <w:sz w:val="22"/>
        </w:rPr>
        <w:t>Cambourne</w:t>
      </w:r>
    </w:p>
    <w:p w:rsidR="00F23FFF" w:rsidRDefault="003552BC">
      <w:pPr>
        <w:rPr>
          <w:rFonts w:ascii="Arial" w:hAnsi="Arial" w:cs="Arial"/>
          <w:color w:val="000080"/>
          <w:sz w:val="22"/>
        </w:rPr>
      </w:pPr>
      <w:r>
        <w:rPr>
          <w:rFonts w:ascii="Arial" w:hAnsi="Arial" w:cs="Arial"/>
          <w:sz w:val="22"/>
        </w:rPr>
        <w:t xml:space="preserve">Cambridge, CB23 6EA                                                                 </w:t>
      </w:r>
    </w:p>
    <w:p w:rsidR="00F23FFF" w:rsidRDefault="00F23FFF">
      <w:pPr>
        <w:pStyle w:val="Title"/>
        <w:jc w:val="left"/>
        <w:rPr>
          <w:rFonts w:ascii="Arial" w:hAnsi="Arial" w:cs="Arial"/>
          <w:color w:val="000080"/>
          <w:sz w:val="32"/>
        </w:rPr>
      </w:pPr>
    </w:p>
    <w:p w:rsidR="00F23FFF" w:rsidRDefault="00F23FFF">
      <w:pPr>
        <w:pStyle w:val="Title"/>
        <w:jc w:val="left"/>
        <w:rPr>
          <w:rFonts w:ascii="Arial" w:hAnsi="Arial" w:cs="Arial"/>
          <w:color w:val="000080"/>
          <w:sz w:val="32"/>
        </w:rPr>
      </w:pPr>
    </w:p>
    <w:p w:rsidR="004F6F9A" w:rsidRDefault="004F6F9A">
      <w:pPr>
        <w:pStyle w:val="Title"/>
        <w:jc w:val="left"/>
        <w:rPr>
          <w:rFonts w:ascii="Arial" w:hAnsi="Arial" w:cs="Arial"/>
          <w:color w:val="000080"/>
          <w:sz w:val="32"/>
        </w:rPr>
      </w:pPr>
    </w:p>
    <w:p w:rsidR="00F23FFF" w:rsidRDefault="003552BC">
      <w:pPr>
        <w:pStyle w:val="Title"/>
        <w:jc w:val="left"/>
        <w:rPr>
          <w:rFonts w:ascii="Arial" w:hAnsi="Arial" w:cs="Arial"/>
          <w:color w:val="000080"/>
          <w:sz w:val="32"/>
        </w:rPr>
      </w:pPr>
      <w:r>
        <w:rPr>
          <w:rFonts w:ascii="Arial" w:hAnsi="Arial" w:cs="Arial"/>
          <w:color w:val="000080"/>
          <w:sz w:val="32"/>
        </w:rPr>
        <w:lastRenderedPageBreak/>
        <w:t>Explanatory Foreword</w:t>
      </w:r>
    </w:p>
    <w:p w:rsidR="00F23FFF" w:rsidRDefault="00F23FFF">
      <w:pPr>
        <w:rPr>
          <w:rFonts w:ascii="Arial" w:hAnsi="Arial" w:cs="Arial"/>
          <w:b/>
          <w:sz w:val="24"/>
        </w:rPr>
      </w:pPr>
    </w:p>
    <w:p w:rsidR="00564415" w:rsidRDefault="00564415" w:rsidP="00564415">
      <w:pPr>
        <w:pStyle w:val="Subtitle"/>
        <w:rPr>
          <w:rFonts w:ascii="Arial" w:hAnsi="Arial" w:cs="Arial"/>
        </w:rPr>
      </w:pPr>
      <w:r>
        <w:rPr>
          <w:rFonts w:ascii="Arial" w:hAnsi="Arial" w:cs="Arial"/>
        </w:rPr>
        <w:t>Introduction</w:t>
      </w:r>
    </w:p>
    <w:p w:rsidR="00564415" w:rsidRDefault="00564415" w:rsidP="00564415">
      <w:pPr>
        <w:rPr>
          <w:rFonts w:ascii="Arial" w:hAnsi="Arial" w:cs="Arial"/>
          <w:sz w:val="22"/>
        </w:rPr>
      </w:pPr>
    </w:p>
    <w:p w:rsidR="00564415" w:rsidRDefault="00564415" w:rsidP="00564415">
      <w:pPr>
        <w:rPr>
          <w:rFonts w:ascii="Arial" w:hAnsi="Arial" w:cs="Arial"/>
          <w:sz w:val="22"/>
        </w:rPr>
      </w:pPr>
      <w:r>
        <w:rPr>
          <w:rFonts w:ascii="Arial" w:hAnsi="Arial" w:cs="Arial"/>
          <w:sz w:val="22"/>
        </w:rPr>
        <w:t xml:space="preserve">The accounts have been prepared in accordance with the Code of Practice on Local Authority Accounting in the United Kingdom which is based on International Financial Reporting Standards. </w:t>
      </w:r>
    </w:p>
    <w:p w:rsidR="00564415" w:rsidRDefault="00564415" w:rsidP="00564415">
      <w:pPr>
        <w:rPr>
          <w:rFonts w:ascii="Arial" w:hAnsi="Arial" w:cs="Arial"/>
          <w:sz w:val="22"/>
        </w:rPr>
      </w:pPr>
    </w:p>
    <w:p w:rsidR="00564415" w:rsidRDefault="00564415" w:rsidP="00564415">
      <w:pPr>
        <w:rPr>
          <w:rFonts w:ascii="Arial" w:hAnsi="Arial" w:cs="Arial"/>
          <w:sz w:val="22"/>
          <w:highlight w:val="yellow"/>
        </w:rPr>
      </w:pPr>
      <w:r>
        <w:rPr>
          <w:rFonts w:ascii="Arial" w:hAnsi="Arial" w:cs="Arial"/>
          <w:sz w:val="22"/>
        </w:rPr>
        <w:t>The Statement of Accounts brings together on the following pages the major financial statements of the Council and consists of:</w:t>
      </w:r>
    </w:p>
    <w:p w:rsidR="00564415" w:rsidRDefault="00564415" w:rsidP="00564415">
      <w:pPr>
        <w:rPr>
          <w:rFonts w:ascii="Arial" w:hAnsi="Arial" w:cs="Arial"/>
          <w:sz w:val="22"/>
          <w:highlight w:val="yellow"/>
        </w:rPr>
      </w:pPr>
    </w:p>
    <w:p w:rsidR="00564415" w:rsidRDefault="00564415" w:rsidP="00564415">
      <w:pPr>
        <w:numPr>
          <w:ilvl w:val="0"/>
          <w:numId w:val="4"/>
        </w:numPr>
        <w:rPr>
          <w:rFonts w:ascii="Arial" w:hAnsi="Arial" w:cs="Arial"/>
          <w:sz w:val="22"/>
        </w:rPr>
      </w:pPr>
      <w:r>
        <w:rPr>
          <w:rFonts w:ascii="Arial" w:hAnsi="Arial" w:cs="Arial"/>
          <w:sz w:val="22"/>
        </w:rPr>
        <w:t>Core financial statements:</w:t>
      </w:r>
    </w:p>
    <w:p w:rsidR="00564415" w:rsidRDefault="00564415" w:rsidP="00564415">
      <w:pPr>
        <w:rPr>
          <w:rFonts w:ascii="Arial" w:hAnsi="Arial" w:cs="Arial"/>
          <w:sz w:val="22"/>
        </w:rPr>
      </w:pPr>
    </w:p>
    <w:p w:rsidR="00564415" w:rsidRDefault="00564415" w:rsidP="00564415">
      <w:pPr>
        <w:numPr>
          <w:ilvl w:val="0"/>
          <w:numId w:val="5"/>
        </w:numPr>
        <w:rPr>
          <w:rFonts w:ascii="Arial" w:hAnsi="Arial" w:cs="Arial"/>
          <w:sz w:val="22"/>
        </w:rPr>
      </w:pPr>
      <w:r>
        <w:rPr>
          <w:rFonts w:ascii="Arial" w:hAnsi="Arial" w:cs="Arial"/>
          <w:sz w:val="22"/>
        </w:rPr>
        <w:t>the Movement in Reserves Statement which shows the movement in the year on the different reserves analysed into usable reserves, that can be applied to fund expenditure or reduce local taxation, and other reserves;</w:t>
      </w:r>
    </w:p>
    <w:p w:rsidR="00564415" w:rsidRDefault="00564415" w:rsidP="00564415">
      <w:pPr>
        <w:rPr>
          <w:rFonts w:ascii="Arial" w:hAnsi="Arial" w:cs="Arial"/>
          <w:sz w:val="22"/>
        </w:rPr>
      </w:pPr>
    </w:p>
    <w:p w:rsidR="00564415" w:rsidRDefault="00564415" w:rsidP="00564415">
      <w:pPr>
        <w:numPr>
          <w:ilvl w:val="1"/>
          <w:numId w:val="5"/>
        </w:numPr>
        <w:tabs>
          <w:tab w:val="clear" w:pos="1800"/>
          <w:tab w:val="num" w:pos="709"/>
        </w:tabs>
        <w:ind w:left="709" w:hanging="425"/>
        <w:rPr>
          <w:rFonts w:ascii="Arial" w:hAnsi="Arial" w:cs="Arial"/>
          <w:sz w:val="22"/>
        </w:rPr>
      </w:pPr>
      <w:r>
        <w:rPr>
          <w:rFonts w:ascii="Arial" w:hAnsi="Arial" w:cs="Arial"/>
          <w:sz w:val="22"/>
        </w:rPr>
        <w:t>the Comprehensive Income and Expenditure Statement which shows the accounting cost in the year of providing services in accordance with generally accepted accounting practices;</w:t>
      </w:r>
    </w:p>
    <w:p w:rsidR="00564415" w:rsidRDefault="00564415" w:rsidP="00564415">
      <w:pPr>
        <w:rPr>
          <w:rFonts w:ascii="Arial" w:hAnsi="Arial" w:cs="Arial"/>
          <w:sz w:val="22"/>
        </w:rPr>
      </w:pPr>
    </w:p>
    <w:p w:rsidR="00564415" w:rsidRDefault="00564415" w:rsidP="00564415">
      <w:pPr>
        <w:numPr>
          <w:ilvl w:val="1"/>
          <w:numId w:val="5"/>
        </w:numPr>
        <w:tabs>
          <w:tab w:val="clear" w:pos="1800"/>
          <w:tab w:val="num" w:pos="709"/>
        </w:tabs>
        <w:ind w:left="709" w:hanging="425"/>
        <w:rPr>
          <w:rFonts w:ascii="Arial" w:hAnsi="Arial" w:cs="Arial"/>
          <w:sz w:val="22"/>
        </w:rPr>
      </w:pPr>
      <w:r>
        <w:rPr>
          <w:rFonts w:ascii="Arial" w:hAnsi="Arial" w:cs="Arial"/>
          <w:sz w:val="22"/>
        </w:rPr>
        <w:t>the Balance Sheet which show</w:t>
      </w:r>
      <w:r w:rsidR="00F73185">
        <w:rPr>
          <w:rFonts w:ascii="Arial" w:hAnsi="Arial" w:cs="Arial"/>
          <w:sz w:val="22"/>
        </w:rPr>
        <w:t>s the value at the year-</w:t>
      </w:r>
      <w:r>
        <w:rPr>
          <w:rFonts w:ascii="Arial" w:hAnsi="Arial" w:cs="Arial"/>
          <w:sz w:val="22"/>
        </w:rPr>
        <w:t>end of assets and liabilities recognised by the Council; and</w:t>
      </w:r>
    </w:p>
    <w:p w:rsidR="00564415" w:rsidRDefault="00564415" w:rsidP="00564415">
      <w:pPr>
        <w:rPr>
          <w:rFonts w:ascii="Arial" w:hAnsi="Arial" w:cs="Arial"/>
          <w:sz w:val="22"/>
        </w:rPr>
      </w:pPr>
    </w:p>
    <w:p w:rsidR="00564415" w:rsidRDefault="00564415" w:rsidP="00564415">
      <w:pPr>
        <w:numPr>
          <w:ilvl w:val="1"/>
          <w:numId w:val="5"/>
        </w:numPr>
        <w:tabs>
          <w:tab w:val="clear" w:pos="1800"/>
          <w:tab w:val="num" w:pos="709"/>
        </w:tabs>
        <w:ind w:left="709" w:hanging="425"/>
        <w:rPr>
          <w:rFonts w:ascii="Arial" w:hAnsi="Arial" w:cs="Arial"/>
          <w:sz w:val="22"/>
        </w:rPr>
      </w:pPr>
      <w:r>
        <w:rPr>
          <w:rFonts w:ascii="Arial" w:hAnsi="Arial" w:cs="Arial"/>
          <w:sz w:val="22"/>
        </w:rPr>
        <w:t>the Cash Flow Statement which shows the changes in cash and cash equivalents during the year arising from the inflows and outflows of cash;</w:t>
      </w:r>
    </w:p>
    <w:p w:rsidR="00564415" w:rsidRDefault="00564415" w:rsidP="00564415">
      <w:pPr>
        <w:rPr>
          <w:rFonts w:ascii="Arial" w:hAnsi="Arial" w:cs="Arial"/>
          <w:sz w:val="22"/>
        </w:rPr>
      </w:pPr>
    </w:p>
    <w:p w:rsidR="00564415" w:rsidRDefault="00564415" w:rsidP="00564415">
      <w:pPr>
        <w:ind w:left="709"/>
        <w:rPr>
          <w:rFonts w:ascii="Arial" w:hAnsi="Arial" w:cs="Arial"/>
          <w:sz w:val="22"/>
        </w:rPr>
      </w:pPr>
      <w:proofErr w:type="gramStart"/>
      <w:r>
        <w:rPr>
          <w:rFonts w:ascii="Arial" w:hAnsi="Arial" w:cs="Arial"/>
          <w:sz w:val="22"/>
        </w:rPr>
        <w:t>with</w:t>
      </w:r>
      <w:proofErr w:type="gramEnd"/>
      <w:r>
        <w:rPr>
          <w:rFonts w:ascii="Arial" w:hAnsi="Arial" w:cs="Arial"/>
          <w:sz w:val="22"/>
        </w:rPr>
        <w:t xml:space="preserve"> associated notes, including the accounting policies, grouped together for all the core financial statements.</w:t>
      </w:r>
    </w:p>
    <w:p w:rsidR="00564415" w:rsidRDefault="00564415" w:rsidP="00564415">
      <w:pPr>
        <w:pStyle w:val="xl65"/>
        <w:spacing w:before="0" w:beforeAutospacing="0" w:after="0" w:afterAutospacing="0"/>
        <w:rPr>
          <w:rFonts w:eastAsia="Times New Roman"/>
          <w:szCs w:val="20"/>
        </w:rPr>
      </w:pPr>
    </w:p>
    <w:p w:rsidR="00564415" w:rsidRDefault="00564415" w:rsidP="00564415">
      <w:pPr>
        <w:numPr>
          <w:ilvl w:val="0"/>
          <w:numId w:val="4"/>
        </w:numPr>
        <w:rPr>
          <w:rFonts w:ascii="Arial" w:hAnsi="Arial" w:cs="Arial"/>
          <w:sz w:val="22"/>
        </w:rPr>
      </w:pPr>
      <w:r>
        <w:rPr>
          <w:rFonts w:ascii="Arial" w:hAnsi="Arial" w:cs="Arial"/>
          <w:sz w:val="22"/>
        </w:rPr>
        <w:t>Supplementary financial statements:</w:t>
      </w:r>
    </w:p>
    <w:p w:rsidR="00564415" w:rsidRDefault="00564415" w:rsidP="00564415">
      <w:pPr>
        <w:rPr>
          <w:rFonts w:ascii="Arial" w:hAnsi="Arial" w:cs="Arial"/>
          <w:sz w:val="22"/>
        </w:rPr>
      </w:pPr>
    </w:p>
    <w:p w:rsidR="00564415" w:rsidRDefault="00564415" w:rsidP="00564415">
      <w:pPr>
        <w:numPr>
          <w:ilvl w:val="0"/>
          <w:numId w:val="6"/>
        </w:numPr>
        <w:tabs>
          <w:tab w:val="clear" w:pos="360"/>
          <w:tab w:val="num" w:pos="709"/>
        </w:tabs>
        <w:ind w:left="709" w:hanging="283"/>
        <w:rPr>
          <w:rFonts w:ascii="Arial" w:hAnsi="Arial" w:cs="Arial"/>
          <w:sz w:val="22"/>
        </w:rPr>
      </w:pPr>
      <w:r>
        <w:rPr>
          <w:rFonts w:ascii="Arial" w:hAnsi="Arial" w:cs="Arial"/>
          <w:sz w:val="22"/>
        </w:rPr>
        <w:t>the Housing Revenue Account which shows revenue expenditure and income on Council housing for the year and is a ring-fenced account within the General Fund to prevent any cross-subsidy between general income and rents; and</w:t>
      </w:r>
    </w:p>
    <w:p w:rsidR="00564415" w:rsidRDefault="00564415" w:rsidP="00564415">
      <w:pPr>
        <w:rPr>
          <w:rFonts w:ascii="Arial" w:hAnsi="Arial" w:cs="Arial"/>
          <w:sz w:val="22"/>
        </w:rPr>
      </w:pPr>
    </w:p>
    <w:p w:rsidR="00564415" w:rsidRDefault="00564415" w:rsidP="00564415">
      <w:pPr>
        <w:ind w:left="709" w:hanging="283"/>
        <w:rPr>
          <w:rFonts w:ascii="Arial" w:hAnsi="Arial" w:cs="Arial"/>
          <w:sz w:val="22"/>
        </w:rPr>
      </w:pPr>
      <w:r>
        <w:rPr>
          <w:rFonts w:ascii="Arial" w:hAnsi="Arial" w:cs="Arial"/>
          <w:sz w:val="22"/>
        </w:rPr>
        <w:t xml:space="preserve">ii)  </w:t>
      </w:r>
      <w:proofErr w:type="gramStart"/>
      <w:r>
        <w:rPr>
          <w:rFonts w:ascii="Arial" w:hAnsi="Arial" w:cs="Arial"/>
          <w:sz w:val="22"/>
        </w:rPr>
        <w:t>the</w:t>
      </w:r>
      <w:proofErr w:type="gramEnd"/>
      <w:r>
        <w:rPr>
          <w:rFonts w:ascii="Arial" w:hAnsi="Arial" w:cs="Arial"/>
          <w:sz w:val="22"/>
        </w:rPr>
        <w:t xml:space="preserve"> Collection Fund which includes the council taxes and business rates collected by South Cambridgeshire District Council on behalf of those authorities responsible for services within the district and the government, and the way in which these monies have been distributed among the authorities and the government.</w:t>
      </w:r>
    </w:p>
    <w:p w:rsidR="00564415" w:rsidRDefault="00564415" w:rsidP="00564415">
      <w:pPr>
        <w:rPr>
          <w:rFonts w:ascii="Arial" w:hAnsi="Arial" w:cs="Arial"/>
          <w:sz w:val="22"/>
        </w:rPr>
      </w:pPr>
    </w:p>
    <w:p w:rsidR="00564415" w:rsidRDefault="00564415" w:rsidP="00564415">
      <w:pPr>
        <w:pStyle w:val="Heading1"/>
        <w:rPr>
          <w:rFonts w:ascii="Arial" w:hAnsi="Arial" w:cs="Arial"/>
          <w:sz w:val="22"/>
        </w:rPr>
      </w:pPr>
    </w:p>
    <w:p w:rsidR="00564415" w:rsidRDefault="00564415" w:rsidP="00564415">
      <w:pPr>
        <w:pStyle w:val="Heading1"/>
        <w:rPr>
          <w:rFonts w:ascii="Arial" w:hAnsi="Arial" w:cs="Arial"/>
          <w:b/>
          <w:color w:val="000080"/>
        </w:rPr>
      </w:pPr>
      <w:r>
        <w:rPr>
          <w:rFonts w:ascii="Arial" w:hAnsi="Arial" w:cs="Arial"/>
          <w:b/>
          <w:color w:val="000080"/>
        </w:rPr>
        <w:t>Comprehensive Income and Expenditure Statement</w:t>
      </w:r>
    </w:p>
    <w:p w:rsidR="00564415" w:rsidRDefault="00564415" w:rsidP="00564415">
      <w:pPr>
        <w:rPr>
          <w:rFonts w:ascii="Arial" w:hAnsi="Arial" w:cs="Arial"/>
          <w:sz w:val="22"/>
        </w:rPr>
      </w:pPr>
    </w:p>
    <w:p w:rsidR="00564415" w:rsidRDefault="00564415" w:rsidP="00564415">
      <w:pPr>
        <w:rPr>
          <w:rFonts w:ascii="Arial" w:hAnsi="Arial" w:cs="Arial"/>
          <w:b/>
          <w:bCs/>
          <w:sz w:val="22"/>
        </w:rPr>
      </w:pPr>
      <w:r>
        <w:rPr>
          <w:rFonts w:ascii="Arial" w:hAnsi="Arial" w:cs="Arial"/>
          <w:sz w:val="22"/>
        </w:rPr>
        <w:t>This Statement records the day-to-day expenditure incurred in providing services such as salaries and wages, other running costs and financing costs and income due from fees and charges and government grants. Also included are various costs to comply with the generally accepted accounting practices which do not impact on the level of council tax. This Statement consolidates the General Fund (services for the whole community) and the Housing Revenue Income and Expenditure Account (Council housing)</w:t>
      </w:r>
      <w:r>
        <w:rPr>
          <w:rFonts w:ascii="Arial" w:hAnsi="Arial" w:cs="Arial"/>
          <w:b/>
          <w:bCs/>
          <w:sz w:val="22"/>
        </w:rPr>
        <w:t xml:space="preserve">. </w:t>
      </w:r>
    </w:p>
    <w:p w:rsidR="00564415" w:rsidRDefault="00564415" w:rsidP="00564415">
      <w:pPr>
        <w:rPr>
          <w:rFonts w:ascii="Arial" w:hAnsi="Arial" w:cs="Arial"/>
          <w:b/>
          <w:bCs/>
          <w:sz w:val="22"/>
        </w:rPr>
      </w:pPr>
    </w:p>
    <w:p w:rsidR="00564415" w:rsidRDefault="00564415" w:rsidP="00564415">
      <w:pPr>
        <w:rPr>
          <w:rFonts w:ascii="Arial" w:hAnsi="Arial" w:cs="Arial"/>
          <w:sz w:val="22"/>
        </w:rPr>
      </w:pPr>
      <w:r>
        <w:rPr>
          <w:rFonts w:ascii="Arial" w:hAnsi="Arial" w:cs="Arial"/>
          <w:sz w:val="22"/>
        </w:rPr>
        <w:t>The additional costs to comply with accounting practices are reversed out in the Movement in Reserves Statement. If the two Statements are combined, then the position for General Fund Services and the council tax can be summarised as:</w:t>
      </w:r>
    </w:p>
    <w:p w:rsidR="00AE04B8" w:rsidRDefault="00564415" w:rsidP="00564415">
      <w:r>
        <w:t xml:space="preserve">  </w:t>
      </w:r>
    </w:p>
    <w:p w:rsidR="009A0C7C" w:rsidRDefault="00564415" w:rsidP="00564415">
      <w:r>
        <w:lastRenderedPageBreak/>
        <w:t xml:space="preserve"> </w:t>
      </w:r>
    </w:p>
    <w:tbl>
      <w:tblPr>
        <w:tblW w:w="7241" w:type="dxa"/>
        <w:jc w:val="center"/>
        <w:tblInd w:w="93" w:type="dxa"/>
        <w:tblLook w:val="04A0" w:firstRow="1" w:lastRow="0" w:firstColumn="1" w:lastColumn="0" w:noHBand="0" w:noVBand="1"/>
      </w:tblPr>
      <w:tblGrid>
        <w:gridCol w:w="222"/>
        <w:gridCol w:w="222"/>
        <w:gridCol w:w="4843"/>
        <w:gridCol w:w="1028"/>
        <w:gridCol w:w="280"/>
        <w:gridCol w:w="1020"/>
      </w:tblGrid>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General Fund</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 xml:space="preserve">Original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Actual</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43"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estimate</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Expenditure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£'000</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£'000</w:t>
            </w: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 xml:space="preserve">Net Portfolio expenditure excluding depreciation </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16,225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14,947 </w:t>
            </w: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Internal drainage boards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156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166 </w:t>
            </w: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Interest and investment income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(425)</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(437)</w:t>
            </w: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Amount to be met from Government Grant and local</w:t>
            </w: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taxpayers</w:t>
            </w: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15,956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14,676 </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43"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Income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Principal sources of finance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District element of Council Tax</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(6,934)</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(6,934)</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Formula Grant</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43"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(a general Government grant towards expenditure)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(3,372)</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(3,426)</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Retained Business Rates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(2,912)</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(4,786)</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New Homes Bonus</w:t>
            </w:r>
            <w:r w:rsidR="00FE52CC">
              <w:rPr>
                <w:rFonts w:ascii="Arial" w:hAnsi="Arial" w:cs="Arial"/>
                <w:lang w:eastAsia="en-GB"/>
              </w:rPr>
              <w:t xml:space="preserve"> &amp; other grant</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(2,702)</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(3,190)</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Council Tax Freeze Grant</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(173)</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0 </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82"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Other items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13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13 </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43"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single" w:sz="4" w:space="0" w:color="auto"/>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(16,080)</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single" w:sz="4" w:space="0" w:color="auto"/>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(18,323)</w:t>
            </w:r>
          </w:p>
        </w:tc>
      </w:tr>
      <w:tr w:rsidR="00C8080B" w:rsidRPr="00C8080B" w:rsidTr="00C8080B">
        <w:trPr>
          <w:trHeight w:val="255"/>
          <w:jc w:val="center"/>
        </w:trPr>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39"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4843"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C8080B">
        <w:trPr>
          <w:trHeight w:val="255"/>
          <w:jc w:val="center"/>
        </w:trPr>
        <w:tc>
          <w:tcPr>
            <w:tcW w:w="4921"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Deficit/(Surplus) for the year</w:t>
            </w: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(124)</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(3,647)</w:t>
            </w:r>
          </w:p>
        </w:tc>
      </w:tr>
    </w:tbl>
    <w:p w:rsidR="00564415" w:rsidRDefault="00564415" w:rsidP="00564415">
      <w:r>
        <w:t xml:space="preserve">                                                                              </w:t>
      </w:r>
    </w:p>
    <w:p w:rsidR="00564415" w:rsidRDefault="00564415" w:rsidP="00564415">
      <w:pPr>
        <w:rPr>
          <w:rFonts w:ascii="Arial" w:hAnsi="Arial" w:cs="Arial"/>
          <w:color w:val="000000"/>
          <w:sz w:val="22"/>
        </w:rPr>
      </w:pPr>
      <w:r>
        <w:rPr>
          <w:rFonts w:ascii="Arial" w:hAnsi="Arial" w:cs="Arial"/>
          <w:sz w:val="22"/>
        </w:rPr>
        <w:t>When the council tax for the financial year ending 31 March 201</w:t>
      </w:r>
      <w:r w:rsidR="009A0C7C">
        <w:rPr>
          <w:rFonts w:ascii="Arial" w:hAnsi="Arial" w:cs="Arial"/>
          <w:sz w:val="22"/>
        </w:rPr>
        <w:t>4</w:t>
      </w:r>
      <w:r>
        <w:rPr>
          <w:rFonts w:ascii="Arial" w:hAnsi="Arial" w:cs="Arial"/>
          <w:sz w:val="22"/>
        </w:rPr>
        <w:t xml:space="preserve"> was set in February 201</w:t>
      </w:r>
      <w:r w:rsidR="009A0C7C">
        <w:rPr>
          <w:rFonts w:ascii="Arial" w:hAnsi="Arial" w:cs="Arial"/>
          <w:sz w:val="22"/>
        </w:rPr>
        <w:t>3</w:t>
      </w:r>
      <w:r>
        <w:rPr>
          <w:rFonts w:ascii="Arial" w:hAnsi="Arial" w:cs="Arial"/>
          <w:sz w:val="22"/>
        </w:rPr>
        <w:t xml:space="preserve">, the </w:t>
      </w:r>
      <w:r w:rsidR="009A0C7C">
        <w:rPr>
          <w:rFonts w:ascii="Arial" w:hAnsi="Arial" w:cs="Arial"/>
          <w:sz w:val="22"/>
        </w:rPr>
        <w:t>surplus</w:t>
      </w:r>
      <w:r>
        <w:rPr>
          <w:rFonts w:ascii="Arial" w:hAnsi="Arial" w:cs="Arial"/>
          <w:sz w:val="22"/>
        </w:rPr>
        <w:t xml:space="preserve"> was estimated at £</w:t>
      </w:r>
      <w:r w:rsidR="009A0C7C">
        <w:rPr>
          <w:rFonts w:ascii="Arial" w:hAnsi="Arial" w:cs="Arial"/>
          <w:color w:val="000000"/>
          <w:sz w:val="22"/>
        </w:rPr>
        <w:t>124,360</w:t>
      </w:r>
      <w:r>
        <w:rPr>
          <w:rFonts w:ascii="Arial" w:hAnsi="Arial" w:cs="Arial"/>
          <w:sz w:val="22"/>
        </w:rPr>
        <w:t>. The variance of £</w:t>
      </w:r>
      <w:r w:rsidR="009A0C7C">
        <w:rPr>
          <w:rFonts w:ascii="Arial" w:hAnsi="Arial" w:cs="Arial"/>
          <w:color w:val="000000"/>
          <w:sz w:val="22"/>
        </w:rPr>
        <w:t>3,523,125</w:t>
      </w:r>
      <w:r>
        <w:rPr>
          <w:rFonts w:ascii="Arial" w:hAnsi="Arial" w:cs="Arial"/>
          <w:sz w:val="22"/>
        </w:rPr>
        <w:t xml:space="preserve"> </w:t>
      </w:r>
      <w:r>
        <w:rPr>
          <w:rFonts w:ascii="Arial" w:hAnsi="Arial" w:cs="Arial"/>
          <w:color w:val="000000"/>
          <w:sz w:val="22"/>
        </w:rPr>
        <w:t>is attributable to the following:</w:t>
      </w:r>
    </w:p>
    <w:p w:rsidR="00C8080B" w:rsidRDefault="00C8080B" w:rsidP="00564415">
      <w:pPr>
        <w:rPr>
          <w:rFonts w:ascii="Arial" w:hAnsi="Arial" w:cs="Arial"/>
          <w:color w:val="000000"/>
          <w:sz w:val="22"/>
        </w:rPr>
      </w:pPr>
    </w:p>
    <w:p w:rsidR="00C8080B" w:rsidRPr="00C8080B" w:rsidRDefault="00EF6A6F" w:rsidP="0040353B">
      <w:pPr>
        <w:ind w:left="-567" w:right="-568"/>
        <w:jc w:val="center"/>
        <w:rPr>
          <w:rFonts w:ascii="Arial" w:hAnsi="Arial" w:cs="Arial"/>
          <w:color w:val="000000"/>
          <w:sz w:val="22"/>
        </w:rPr>
      </w:pPr>
      <w:r w:rsidRPr="00EF6A6F">
        <w:rPr>
          <w:noProof/>
          <w:lang w:eastAsia="en-GB"/>
        </w:rPr>
        <w:drawing>
          <wp:inline distT="0" distB="0" distL="0" distR="0" wp14:anchorId="77735EE6" wp14:editId="200C9B10">
            <wp:extent cx="6315075" cy="460320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7465" cy="4604948"/>
                    </a:xfrm>
                    <a:prstGeom prst="rect">
                      <a:avLst/>
                    </a:prstGeom>
                    <a:noFill/>
                    <a:ln>
                      <a:noFill/>
                    </a:ln>
                  </pic:spPr>
                </pic:pic>
              </a:graphicData>
            </a:graphic>
          </wp:inline>
        </w:drawing>
      </w:r>
    </w:p>
    <w:p w:rsidR="00564415" w:rsidRDefault="00564415" w:rsidP="00564415">
      <w:pPr>
        <w:pStyle w:val="Heading1"/>
        <w:rPr>
          <w:rFonts w:ascii="Arial" w:hAnsi="Arial" w:cs="Arial"/>
          <w:b/>
          <w:bCs/>
          <w:color w:val="000080"/>
          <w:sz w:val="22"/>
        </w:rPr>
      </w:pPr>
      <w:r>
        <w:rPr>
          <w:rFonts w:ascii="Arial" w:hAnsi="Arial" w:cs="Arial"/>
          <w:b/>
          <w:bCs/>
          <w:color w:val="000080"/>
        </w:rPr>
        <w:lastRenderedPageBreak/>
        <w:t>Housing Revenue Account</w:t>
      </w:r>
    </w:p>
    <w:p w:rsidR="00564415" w:rsidRDefault="00564415" w:rsidP="00564415">
      <w:pPr>
        <w:rPr>
          <w:rFonts w:ascii="Arial" w:hAnsi="Arial" w:cs="Arial"/>
          <w:sz w:val="22"/>
        </w:rPr>
      </w:pPr>
    </w:p>
    <w:p w:rsidR="00564415" w:rsidRDefault="00564415" w:rsidP="00564415">
      <w:pPr>
        <w:rPr>
          <w:rFonts w:ascii="Arial" w:hAnsi="Arial" w:cs="Arial"/>
          <w:sz w:val="22"/>
        </w:rPr>
      </w:pPr>
      <w:r>
        <w:rPr>
          <w:rFonts w:ascii="Arial" w:hAnsi="Arial" w:cs="Arial"/>
          <w:sz w:val="22"/>
        </w:rPr>
        <w:t>This Account deals with the provision, management and maintenance of Council dwellings, as summarised below:</w:t>
      </w:r>
    </w:p>
    <w:p w:rsidR="00564415" w:rsidRDefault="00564415" w:rsidP="00564415">
      <w:pPr>
        <w:pStyle w:val="BodyText"/>
        <w:jc w:val="left"/>
        <w:rPr>
          <w:rFonts w:ascii="Arial" w:hAnsi="Arial" w:cs="Arial"/>
          <w:b/>
          <w:bCs/>
          <w:sz w:val="22"/>
        </w:rPr>
      </w:pPr>
      <w:r>
        <w:t xml:space="preserve">                                                                                            </w:t>
      </w:r>
    </w:p>
    <w:tbl>
      <w:tblPr>
        <w:tblW w:w="7240" w:type="dxa"/>
        <w:jc w:val="center"/>
        <w:tblInd w:w="93" w:type="dxa"/>
        <w:tblLook w:val="04A0" w:firstRow="1" w:lastRow="0" w:firstColumn="1" w:lastColumn="0" w:noHBand="0" w:noVBand="1"/>
      </w:tblPr>
      <w:tblGrid>
        <w:gridCol w:w="1640"/>
        <w:gridCol w:w="1640"/>
        <w:gridCol w:w="1640"/>
        <w:gridCol w:w="1028"/>
        <w:gridCol w:w="280"/>
        <w:gridCol w:w="1020"/>
      </w:tblGrid>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Housing Revenue Account</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 xml:space="preserve">Original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Actual</w:t>
            </w:r>
          </w:p>
        </w:tc>
      </w:tr>
      <w:tr w:rsidR="00C8080B" w:rsidRPr="00C8080B" w:rsidTr="00103047">
        <w:trPr>
          <w:trHeight w:val="255"/>
          <w:jc w:val="center"/>
        </w:trPr>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estimate</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Expenditure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£'000</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£'000</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Repairs and maintenance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3,526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3,862 </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Management and services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5,940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5,630 </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Depreciation of fixed assets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10,378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10,378 </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Capital Asset Charges Accounting Adjustment</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(4,836)</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(4,830)</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Transfer to reserves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2,500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4,000 </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 xml:space="preserve">Interest payable </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7,193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7,193 </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Capital expenditure met from revenue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4,068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2,549 </w:t>
            </w:r>
          </w:p>
        </w:tc>
      </w:tr>
      <w:tr w:rsidR="00C8080B" w:rsidRPr="00C8080B" w:rsidTr="00103047">
        <w:trPr>
          <w:trHeight w:val="255"/>
          <w:jc w:val="center"/>
        </w:trPr>
        <w:tc>
          <w:tcPr>
            <w:tcW w:w="3280"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Other</w:t>
            </w: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159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108 </w:t>
            </w:r>
          </w:p>
        </w:tc>
      </w:tr>
      <w:tr w:rsidR="00C8080B" w:rsidRPr="00C8080B" w:rsidTr="00103047">
        <w:trPr>
          <w:trHeight w:val="255"/>
          <w:jc w:val="center"/>
        </w:trPr>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single" w:sz="4" w:space="0" w:color="auto"/>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28,928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single" w:sz="4" w:space="0" w:color="auto"/>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 xml:space="preserve">28,890 </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Income</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Rents and charges</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(28,270)</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(28,487)</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Receipt from General Fund</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(146)</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(150)</w:t>
            </w:r>
          </w:p>
        </w:tc>
      </w:tr>
      <w:tr w:rsidR="00C8080B" w:rsidRPr="00C8080B" w:rsidTr="00103047">
        <w:trPr>
          <w:trHeight w:val="255"/>
          <w:jc w:val="center"/>
        </w:trPr>
        <w:tc>
          <w:tcPr>
            <w:tcW w:w="3280" w:type="dxa"/>
            <w:gridSpan w:val="2"/>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Other</w:t>
            </w: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(270)</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(291)</w:t>
            </w: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r w:rsidRPr="00C8080B">
              <w:rPr>
                <w:rFonts w:ascii="Arial" w:hAnsi="Arial" w:cs="Arial"/>
                <w:lang w:eastAsia="en-GB"/>
              </w:rPr>
              <w:t>Interest</w:t>
            </w: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(68)</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(27)</w:t>
            </w:r>
          </w:p>
        </w:tc>
      </w:tr>
      <w:tr w:rsidR="00C8080B" w:rsidRPr="00C8080B" w:rsidTr="00103047">
        <w:trPr>
          <w:trHeight w:val="255"/>
          <w:jc w:val="center"/>
        </w:trPr>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single" w:sz="4" w:space="0" w:color="auto"/>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(28,754)</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single" w:sz="4" w:space="0" w:color="auto"/>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lang w:eastAsia="en-GB"/>
              </w:rPr>
            </w:pPr>
            <w:r w:rsidRPr="00C8080B">
              <w:rPr>
                <w:rFonts w:ascii="Arial" w:hAnsi="Arial" w:cs="Arial"/>
                <w:lang w:eastAsia="en-GB"/>
              </w:rPr>
              <w:t>(28,955)</w:t>
            </w:r>
          </w:p>
        </w:tc>
      </w:tr>
      <w:tr w:rsidR="00C8080B" w:rsidRPr="00C8080B" w:rsidTr="00103047">
        <w:trPr>
          <w:trHeight w:val="255"/>
          <w:jc w:val="center"/>
        </w:trPr>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640" w:type="dxa"/>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c>
          <w:tcPr>
            <w:tcW w:w="102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lang w:eastAsia="en-GB"/>
              </w:rPr>
            </w:pPr>
          </w:p>
        </w:tc>
      </w:tr>
      <w:tr w:rsidR="00C8080B" w:rsidRPr="00C8080B" w:rsidTr="00103047">
        <w:trPr>
          <w:trHeight w:val="255"/>
          <w:jc w:val="center"/>
        </w:trPr>
        <w:tc>
          <w:tcPr>
            <w:tcW w:w="4920" w:type="dxa"/>
            <w:gridSpan w:val="3"/>
            <w:tcBorders>
              <w:top w:val="nil"/>
              <w:left w:val="nil"/>
              <w:bottom w:val="nil"/>
              <w:right w:val="nil"/>
            </w:tcBorders>
            <w:shd w:val="clear" w:color="auto" w:fill="auto"/>
            <w:noWrap/>
            <w:vAlign w:val="bottom"/>
            <w:hideMark/>
          </w:tcPr>
          <w:p w:rsidR="00C8080B" w:rsidRPr="00C8080B" w:rsidRDefault="00C8080B" w:rsidP="00C8080B">
            <w:pPr>
              <w:rPr>
                <w:rFonts w:ascii="Arial" w:hAnsi="Arial" w:cs="Arial"/>
                <w:b/>
                <w:bCs/>
                <w:lang w:eastAsia="en-GB"/>
              </w:rPr>
            </w:pPr>
            <w:r w:rsidRPr="00C8080B">
              <w:rPr>
                <w:rFonts w:ascii="Arial" w:hAnsi="Arial" w:cs="Arial"/>
                <w:b/>
                <w:bCs/>
                <w:lang w:eastAsia="en-GB"/>
              </w:rPr>
              <w:t>Deficit/(Surplus) for the year</w:t>
            </w: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 xml:space="preserve">174 </w:t>
            </w:r>
          </w:p>
        </w:tc>
        <w:tc>
          <w:tcPr>
            <w:tcW w:w="280" w:type="dxa"/>
            <w:tcBorders>
              <w:top w:val="nil"/>
              <w:left w:val="nil"/>
              <w:bottom w:val="nil"/>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p>
        </w:tc>
        <w:tc>
          <w:tcPr>
            <w:tcW w:w="1020" w:type="dxa"/>
            <w:tcBorders>
              <w:top w:val="nil"/>
              <w:left w:val="nil"/>
              <w:bottom w:val="single" w:sz="4" w:space="0" w:color="auto"/>
              <w:right w:val="nil"/>
            </w:tcBorders>
            <w:shd w:val="clear" w:color="auto" w:fill="auto"/>
            <w:noWrap/>
            <w:vAlign w:val="bottom"/>
            <w:hideMark/>
          </w:tcPr>
          <w:p w:rsidR="00C8080B" w:rsidRPr="00C8080B" w:rsidRDefault="00C8080B" w:rsidP="00C8080B">
            <w:pPr>
              <w:jc w:val="right"/>
              <w:rPr>
                <w:rFonts w:ascii="Arial" w:hAnsi="Arial" w:cs="Arial"/>
                <w:b/>
                <w:bCs/>
                <w:lang w:eastAsia="en-GB"/>
              </w:rPr>
            </w:pPr>
            <w:r w:rsidRPr="00C8080B">
              <w:rPr>
                <w:rFonts w:ascii="Arial" w:hAnsi="Arial" w:cs="Arial"/>
                <w:b/>
                <w:bCs/>
                <w:lang w:eastAsia="en-GB"/>
              </w:rPr>
              <w:t>(65)</w:t>
            </w:r>
          </w:p>
        </w:tc>
      </w:tr>
    </w:tbl>
    <w:p w:rsidR="00564415" w:rsidRDefault="00564415" w:rsidP="00CD3A51">
      <w:pPr>
        <w:pStyle w:val="BodyText"/>
        <w:jc w:val="center"/>
        <w:rPr>
          <w:rFonts w:ascii="Arial" w:hAnsi="Arial" w:cs="Arial"/>
          <w:b/>
          <w:bCs/>
          <w:sz w:val="22"/>
        </w:rPr>
      </w:pPr>
    </w:p>
    <w:p w:rsidR="00564415" w:rsidRDefault="00564415" w:rsidP="00564415">
      <w:pPr>
        <w:pStyle w:val="BodyText"/>
        <w:jc w:val="left"/>
        <w:rPr>
          <w:rFonts w:ascii="Arial" w:hAnsi="Arial" w:cs="Arial"/>
          <w:sz w:val="22"/>
        </w:rPr>
      </w:pPr>
    </w:p>
    <w:p w:rsidR="00564415" w:rsidRDefault="00564415" w:rsidP="00564415">
      <w:pPr>
        <w:pStyle w:val="xl65"/>
        <w:spacing w:before="0" w:beforeAutospacing="0" w:after="0" w:afterAutospacing="0"/>
        <w:rPr>
          <w:rFonts w:eastAsia="Times New Roman"/>
          <w:szCs w:val="20"/>
        </w:rPr>
      </w:pPr>
      <w:r>
        <w:rPr>
          <w:rFonts w:eastAsia="Times New Roman"/>
          <w:szCs w:val="20"/>
        </w:rPr>
        <w:t>These figures exclude items which are subsequently reversed in or out through the Movement on the Housing Revenue Account Statement.</w:t>
      </w:r>
    </w:p>
    <w:p w:rsidR="00564415" w:rsidRDefault="00564415" w:rsidP="00564415">
      <w:pPr>
        <w:rPr>
          <w:rFonts w:ascii="Arial" w:hAnsi="Arial" w:cs="Arial"/>
          <w:sz w:val="22"/>
        </w:rPr>
      </w:pPr>
      <w:r>
        <w:rPr>
          <w:rFonts w:ascii="Arial" w:hAnsi="Arial" w:cs="Arial"/>
          <w:sz w:val="22"/>
        </w:rPr>
        <w:t xml:space="preserve">           </w:t>
      </w:r>
    </w:p>
    <w:p w:rsidR="00564415" w:rsidRDefault="00564415" w:rsidP="00564415">
      <w:pPr>
        <w:rPr>
          <w:rFonts w:ascii="Arial" w:hAnsi="Arial" w:cs="Arial"/>
          <w:sz w:val="22"/>
        </w:rPr>
      </w:pPr>
      <w:r>
        <w:rPr>
          <w:rFonts w:ascii="Arial" w:hAnsi="Arial" w:cs="Arial"/>
          <w:sz w:val="22"/>
        </w:rPr>
        <w:t>When rents for the financial year ending 31 March 201</w:t>
      </w:r>
      <w:r w:rsidR="00CD3A51">
        <w:rPr>
          <w:rFonts w:ascii="Arial" w:hAnsi="Arial" w:cs="Arial"/>
          <w:sz w:val="22"/>
        </w:rPr>
        <w:t>4</w:t>
      </w:r>
      <w:r>
        <w:rPr>
          <w:rFonts w:ascii="Arial" w:hAnsi="Arial" w:cs="Arial"/>
          <w:sz w:val="22"/>
        </w:rPr>
        <w:t xml:space="preserve"> were set in February 201</w:t>
      </w:r>
      <w:r w:rsidR="00CD3A51">
        <w:rPr>
          <w:rFonts w:ascii="Arial" w:hAnsi="Arial" w:cs="Arial"/>
          <w:sz w:val="22"/>
        </w:rPr>
        <w:t>3</w:t>
      </w:r>
      <w:r>
        <w:rPr>
          <w:rFonts w:ascii="Arial" w:hAnsi="Arial" w:cs="Arial"/>
          <w:sz w:val="22"/>
        </w:rPr>
        <w:t xml:space="preserve">, the estimated rent increase was set in line with government guidance at </w:t>
      </w:r>
      <w:r w:rsidR="00853E33">
        <w:rPr>
          <w:rFonts w:ascii="Arial" w:hAnsi="Arial" w:cs="Arial"/>
          <w:sz w:val="22"/>
        </w:rPr>
        <w:t>3</w:t>
      </w:r>
      <w:r w:rsidR="00EA7390">
        <w:rPr>
          <w:rFonts w:ascii="Arial" w:hAnsi="Arial" w:cs="Arial"/>
          <w:sz w:val="22"/>
        </w:rPr>
        <w:t>.1</w:t>
      </w:r>
      <w:r>
        <w:rPr>
          <w:rFonts w:ascii="Arial" w:hAnsi="Arial" w:cs="Arial"/>
          <w:sz w:val="22"/>
        </w:rPr>
        <w:t xml:space="preserve">% and the </w:t>
      </w:r>
      <w:r w:rsidR="00CD3A51">
        <w:rPr>
          <w:rFonts w:ascii="Arial" w:hAnsi="Arial" w:cs="Arial"/>
          <w:sz w:val="22"/>
        </w:rPr>
        <w:t>deficit</w:t>
      </w:r>
      <w:r>
        <w:rPr>
          <w:rFonts w:ascii="Arial" w:hAnsi="Arial" w:cs="Arial"/>
          <w:sz w:val="22"/>
        </w:rPr>
        <w:t xml:space="preserve"> was estimated at £</w:t>
      </w:r>
      <w:r w:rsidR="00CD3A51">
        <w:rPr>
          <w:rFonts w:ascii="Arial" w:hAnsi="Arial" w:cs="Arial"/>
          <w:sz w:val="22"/>
        </w:rPr>
        <w:t>174,480</w:t>
      </w:r>
      <w:r>
        <w:rPr>
          <w:rFonts w:ascii="Arial" w:hAnsi="Arial" w:cs="Arial"/>
          <w:sz w:val="22"/>
        </w:rPr>
        <w:t>. The variance of £</w:t>
      </w:r>
      <w:r w:rsidR="00CD3A51">
        <w:rPr>
          <w:rFonts w:ascii="Arial" w:hAnsi="Arial" w:cs="Arial"/>
          <w:sz w:val="22"/>
        </w:rPr>
        <w:t>239,619</w:t>
      </w:r>
      <w:r>
        <w:rPr>
          <w:rFonts w:ascii="Arial" w:hAnsi="Arial" w:cs="Arial"/>
          <w:sz w:val="22"/>
        </w:rPr>
        <w:t xml:space="preserve"> is attributable to the following:   </w:t>
      </w:r>
    </w:p>
    <w:p w:rsidR="00103047" w:rsidRDefault="00103047" w:rsidP="00564415">
      <w:pPr>
        <w:rPr>
          <w:rFonts w:ascii="Arial" w:hAnsi="Arial" w:cs="Arial"/>
          <w:sz w:val="22"/>
        </w:rPr>
      </w:pPr>
    </w:p>
    <w:p w:rsidR="00103047" w:rsidRDefault="00103047" w:rsidP="00564415">
      <w:pPr>
        <w:rPr>
          <w:rFonts w:ascii="Arial" w:hAnsi="Arial" w:cs="Arial"/>
          <w:sz w:val="22"/>
        </w:rPr>
      </w:pPr>
    </w:p>
    <w:p w:rsidR="00F57A5D" w:rsidRDefault="005A04A5" w:rsidP="005A04A5">
      <w:pPr>
        <w:ind w:left="-426"/>
        <w:jc w:val="center"/>
        <w:rPr>
          <w:rFonts w:ascii="Arial" w:hAnsi="Arial" w:cs="Arial"/>
          <w:sz w:val="22"/>
        </w:rPr>
      </w:pPr>
      <w:r w:rsidRPr="005A04A5">
        <w:rPr>
          <w:noProof/>
          <w:lang w:eastAsia="en-GB"/>
        </w:rPr>
        <w:drawing>
          <wp:inline distT="0" distB="0" distL="0" distR="0" wp14:anchorId="179ABE3C" wp14:editId="2680C510">
            <wp:extent cx="6339747" cy="22574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042" cy="2258242"/>
                    </a:xfrm>
                    <a:prstGeom prst="rect">
                      <a:avLst/>
                    </a:prstGeom>
                    <a:noFill/>
                    <a:ln>
                      <a:noFill/>
                    </a:ln>
                  </pic:spPr>
                </pic:pic>
              </a:graphicData>
            </a:graphic>
          </wp:inline>
        </w:drawing>
      </w:r>
    </w:p>
    <w:p w:rsidR="00AE04B8" w:rsidRDefault="00AE04B8" w:rsidP="00141E9C">
      <w:pPr>
        <w:ind w:left="-567" w:right="-427"/>
        <w:jc w:val="center"/>
        <w:rPr>
          <w:rFonts w:ascii="Arial" w:hAnsi="Arial" w:cs="Arial"/>
          <w:sz w:val="22"/>
        </w:rPr>
      </w:pPr>
    </w:p>
    <w:p w:rsidR="0069552D" w:rsidRDefault="0069552D" w:rsidP="00564415">
      <w:pPr>
        <w:rPr>
          <w:rFonts w:ascii="Arial" w:hAnsi="Arial" w:cs="Arial"/>
          <w:sz w:val="22"/>
        </w:rPr>
      </w:pPr>
    </w:p>
    <w:p w:rsidR="00564415" w:rsidRDefault="00564415" w:rsidP="00673576">
      <w:pPr>
        <w:ind w:left="-426"/>
        <w:rPr>
          <w:rFonts w:ascii="Arial" w:hAnsi="Arial" w:cs="Arial"/>
          <w:sz w:val="22"/>
        </w:rPr>
      </w:pPr>
    </w:p>
    <w:p w:rsidR="00564415" w:rsidRDefault="00564415" w:rsidP="00F57A5D">
      <w:pPr>
        <w:jc w:val="center"/>
        <w:rPr>
          <w:rFonts w:ascii="Arial" w:hAnsi="Arial" w:cs="Arial"/>
          <w:sz w:val="22"/>
        </w:rPr>
      </w:pPr>
    </w:p>
    <w:p w:rsidR="00564415" w:rsidRDefault="00564415" w:rsidP="00564415">
      <w:pPr>
        <w:rPr>
          <w:rFonts w:ascii="Arial" w:hAnsi="Arial" w:cs="Arial"/>
          <w:sz w:val="22"/>
        </w:rPr>
      </w:pPr>
      <w:r>
        <w:rPr>
          <w:rFonts w:ascii="Arial" w:hAnsi="Arial" w:cs="Arial"/>
          <w:sz w:val="22"/>
        </w:rPr>
        <w:t xml:space="preserve"> </w:t>
      </w:r>
    </w:p>
    <w:p w:rsidR="00153C5F" w:rsidRPr="000720FF" w:rsidRDefault="00564415" w:rsidP="00153C5F">
      <w:pPr>
        <w:rPr>
          <w:rFonts w:ascii="Arial" w:hAnsi="Arial" w:cs="Arial"/>
          <w:sz w:val="22"/>
        </w:rPr>
      </w:pPr>
      <w:r>
        <w:rPr>
          <w:rFonts w:ascii="Arial" w:hAnsi="Arial" w:cs="Arial"/>
          <w:sz w:val="22"/>
        </w:rPr>
        <w:t xml:space="preserve">                          </w:t>
      </w:r>
      <w:r>
        <w:rPr>
          <w:rFonts w:ascii="Arial" w:hAnsi="Arial" w:cs="Arial"/>
          <w:sz w:val="22"/>
        </w:rPr>
        <w:tab/>
      </w:r>
    </w:p>
    <w:p w:rsidR="00564415" w:rsidRDefault="00564415" w:rsidP="00564415">
      <w:pPr>
        <w:pStyle w:val="Heading1"/>
        <w:rPr>
          <w:rFonts w:ascii="Arial" w:hAnsi="Arial" w:cs="Arial"/>
          <w:b/>
          <w:color w:val="000080"/>
        </w:rPr>
      </w:pPr>
      <w:r>
        <w:rPr>
          <w:rFonts w:ascii="Arial" w:hAnsi="Arial" w:cs="Arial"/>
          <w:b/>
          <w:color w:val="000080"/>
        </w:rPr>
        <w:lastRenderedPageBreak/>
        <w:t>Capital</w:t>
      </w:r>
    </w:p>
    <w:p w:rsidR="00564415" w:rsidRDefault="00564415" w:rsidP="00564415">
      <w:pPr>
        <w:rPr>
          <w:rFonts w:ascii="Arial" w:hAnsi="Arial" w:cs="Arial"/>
          <w:sz w:val="22"/>
        </w:rPr>
      </w:pPr>
    </w:p>
    <w:p w:rsidR="00564415" w:rsidRDefault="00564415" w:rsidP="00564415">
      <w:pPr>
        <w:pStyle w:val="BodyText"/>
        <w:jc w:val="left"/>
        <w:rPr>
          <w:rFonts w:ascii="Arial" w:hAnsi="Arial" w:cs="Arial"/>
          <w:sz w:val="22"/>
        </w:rPr>
      </w:pPr>
      <w:r>
        <w:rPr>
          <w:rFonts w:ascii="Arial" w:hAnsi="Arial" w:cs="Arial"/>
          <w:sz w:val="22"/>
        </w:rPr>
        <w:t>Capital expenditure produces assets capable of providing benefits to the community for several years to come. Total expenditure for the year amounted to £</w:t>
      </w:r>
      <w:r w:rsidR="00346DB5">
        <w:rPr>
          <w:rFonts w:ascii="Arial" w:hAnsi="Arial" w:cs="Arial"/>
          <w:sz w:val="22"/>
        </w:rPr>
        <w:t>13.20</w:t>
      </w:r>
      <w:r>
        <w:rPr>
          <w:rFonts w:ascii="Arial" w:hAnsi="Arial" w:cs="Arial"/>
          <w:sz w:val="22"/>
        </w:rPr>
        <w:t xml:space="preserve"> million. The major part of the programme involved the provision of housing; with £</w:t>
      </w:r>
      <w:r w:rsidR="00103047">
        <w:rPr>
          <w:rFonts w:ascii="Arial" w:hAnsi="Arial" w:cs="Arial"/>
          <w:sz w:val="22"/>
        </w:rPr>
        <w:t xml:space="preserve">9.75 </w:t>
      </w:r>
      <w:r>
        <w:rPr>
          <w:rFonts w:ascii="Arial" w:hAnsi="Arial" w:cs="Arial"/>
          <w:sz w:val="22"/>
        </w:rPr>
        <w:t xml:space="preserve">million being invested in the Council’s own housing stock. </w:t>
      </w:r>
    </w:p>
    <w:p w:rsidR="00153C5F" w:rsidRDefault="00153C5F" w:rsidP="00564415"/>
    <w:p w:rsidR="00564415" w:rsidRDefault="00564415" w:rsidP="00564415"/>
    <w:p w:rsidR="00564415" w:rsidRDefault="00564415" w:rsidP="00564415">
      <w:pPr>
        <w:pStyle w:val="Heading6"/>
        <w:jc w:val="left"/>
        <w:rPr>
          <w:rFonts w:ascii="Arial" w:hAnsi="Arial" w:cs="Arial"/>
        </w:rPr>
      </w:pPr>
      <w:r>
        <w:rPr>
          <w:rFonts w:ascii="Arial" w:hAnsi="Arial" w:cs="Arial"/>
        </w:rPr>
        <w:t>Treasury Management</w:t>
      </w:r>
    </w:p>
    <w:p w:rsidR="00564415" w:rsidRDefault="00564415" w:rsidP="00564415">
      <w:pPr>
        <w:rPr>
          <w:rFonts w:ascii="Arial" w:hAnsi="Arial" w:cs="Arial"/>
          <w:b/>
          <w:sz w:val="22"/>
        </w:rPr>
      </w:pPr>
    </w:p>
    <w:p w:rsidR="00564415" w:rsidRDefault="00564415" w:rsidP="00564415">
      <w:pPr>
        <w:rPr>
          <w:rFonts w:ascii="Arial" w:hAnsi="Arial" w:cs="Arial"/>
          <w:sz w:val="22"/>
        </w:rPr>
      </w:pPr>
      <w:r>
        <w:rPr>
          <w:rFonts w:ascii="Arial" w:hAnsi="Arial" w:cs="Arial"/>
          <w:sz w:val="22"/>
        </w:rPr>
        <w:t>At the 31 March 201</w:t>
      </w:r>
      <w:r w:rsidR="00346DB5">
        <w:rPr>
          <w:rFonts w:ascii="Arial" w:hAnsi="Arial" w:cs="Arial"/>
          <w:sz w:val="22"/>
        </w:rPr>
        <w:t>4</w:t>
      </w:r>
      <w:r>
        <w:rPr>
          <w:rFonts w:ascii="Arial" w:hAnsi="Arial" w:cs="Arial"/>
          <w:sz w:val="22"/>
        </w:rPr>
        <w:t>, investments (excluding accrued interest) totalled £</w:t>
      </w:r>
      <w:r w:rsidR="00346DB5">
        <w:rPr>
          <w:rFonts w:ascii="Arial" w:hAnsi="Arial" w:cs="Arial"/>
          <w:sz w:val="22"/>
        </w:rPr>
        <w:t>29.</w:t>
      </w:r>
      <w:r w:rsidR="004811AF">
        <w:rPr>
          <w:rFonts w:ascii="Arial" w:hAnsi="Arial" w:cs="Arial"/>
          <w:sz w:val="22"/>
        </w:rPr>
        <w:t>3</w:t>
      </w:r>
      <w:r>
        <w:rPr>
          <w:rFonts w:ascii="Arial" w:hAnsi="Arial" w:cs="Arial"/>
          <w:sz w:val="22"/>
        </w:rPr>
        <w:t xml:space="preserve"> million, an increase of £</w:t>
      </w:r>
      <w:r w:rsidR="00346DB5">
        <w:rPr>
          <w:rFonts w:ascii="Arial" w:hAnsi="Arial" w:cs="Arial"/>
          <w:sz w:val="22"/>
        </w:rPr>
        <w:t>6.3</w:t>
      </w:r>
      <w:r>
        <w:rPr>
          <w:rFonts w:ascii="Arial" w:hAnsi="Arial" w:cs="Arial"/>
          <w:sz w:val="22"/>
        </w:rPr>
        <w:t xml:space="preserve"> mil</w:t>
      </w:r>
      <w:r w:rsidR="000A0C0B">
        <w:rPr>
          <w:rFonts w:ascii="Arial" w:hAnsi="Arial" w:cs="Arial"/>
          <w:sz w:val="22"/>
        </w:rPr>
        <w:t>lion over the previous year-end</w:t>
      </w:r>
      <w:r w:rsidRPr="00353F44">
        <w:rPr>
          <w:rFonts w:ascii="Arial" w:hAnsi="Arial" w:cs="Arial"/>
          <w:sz w:val="22"/>
        </w:rPr>
        <w:t>. These investments</w:t>
      </w:r>
      <w:r>
        <w:rPr>
          <w:rFonts w:ascii="Arial" w:hAnsi="Arial" w:cs="Arial"/>
          <w:sz w:val="22"/>
        </w:rPr>
        <w:t xml:space="preserve"> produced interest of over </w:t>
      </w:r>
      <w:r w:rsidRPr="005D1FD8">
        <w:rPr>
          <w:rFonts w:ascii="Arial" w:hAnsi="Arial" w:cs="Arial"/>
          <w:sz w:val="22"/>
        </w:rPr>
        <w:t>£0.</w:t>
      </w:r>
      <w:r w:rsidR="00346DB5">
        <w:rPr>
          <w:rFonts w:ascii="Arial" w:hAnsi="Arial" w:cs="Arial"/>
          <w:sz w:val="22"/>
        </w:rPr>
        <w:t>43</w:t>
      </w:r>
      <w:r>
        <w:rPr>
          <w:rFonts w:ascii="Arial" w:hAnsi="Arial" w:cs="Arial"/>
          <w:sz w:val="22"/>
        </w:rPr>
        <w:t xml:space="preserve"> million, which was used towards the cost of services.</w:t>
      </w:r>
    </w:p>
    <w:p w:rsidR="00564415" w:rsidRDefault="00564415" w:rsidP="00564415">
      <w:pPr>
        <w:pStyle w:val="xl26"/>
        <w:pBdr>
          <w:bottom w:val="none" w:sz="0" w:space="0" w:color="auto"/>
        </w:pBdr>
        <w:spacing w:before="0" w:beforeAutospacing="0" w:after="0" w:afterAutospacing="0"/>
        <w:jc w:val="both"/>
        <w:rPr>
          <w:rFonts w:ascii="Arial" w:hAnsi="Arial" w:cs="Arial"/>
          <w:sz w:val="22"/>
          <w:szCs w:val="20"/>
        </w:rPr>
      </w:pPr>
    </w:p>
    <w:p w:rsidR="00564415" w:rsidRDefault="00564415" w:rsidP="00564415">
      <w:pPr>
        <w:rPr>
          <w:rFonts w:ascii="Arial" w:hAnsi="Arial" w:cs="Arial"/>
          <w:sz w:val="22"/>
        </w:rPr>
      </w:pPr>
      <w:r w:rsidRPr="003D4F1D">
        <w:rPr>
          <w:rFonts w:ascii="Arial" w:hAnsi="Arial" w:cs="Arial"/>
          <w:sz w:val="22"/>
        </w:rPr>
        <w:t>The Coun</w:t>
      </w:r>
      <w:r>
        <w:rPr>
          <w:rFonts w:ascii="Arial" w:hAnsi="Arial" w:cs="Arial"/>
          <w:sz w:val="22"/>
        </w:rPr>
        <w:t xml:space="preserve">cil has debt of </w:t>
      </w:r>
      <w:r w:rsidR="00EA7390">
        <w:rPr>
          <w:rFonts w:ascii="Arial" w:hAnsi="Arial" w:cs="Arial"/>
          <w:sz w:val="22"/>
        </w:rPr>
        <w:t xml:space="preserve">£205 million </w:t>
      </w:r>
      <w:r w:rsidR="00346DB5">
        <w:rPr>
          <w:rFonts w:ascii="Arial" w:hAnsi="Arial" w:cs="Arial"/>
          <w:sz w:val="22"/>
        </w:rPr>
        <w:t>following Housing Revenue Account Self-Financing.</w:t>
      </w:r>
    </w:p>
    <w:p w:rsidR="00564415" w:rsidRDefault="00564415" w:rsidP="00564415">
      <w:pPr>
        <w:rPr>
          <w:rFonts w:ascii="Arial" w:hAnsi="Arial" w:cs="Arial"/>
          <w:sz w:val="22"/>
        </w:rPr>
      </w:pPr>
    </w:p>
    <w:p w:rsidR="00153C5F" w:rsidRDefault="00153C5F" w:rsidP="00564415">
      <w:pPr>
        <w:rPr>
          <w:rFonts w:ascii="Arial" w:hAnsi="Arial" w:cs="Arial"/>
          <w:sz w:val="22"/>
        </w:rPr>
      </w:pPr>
    </w:p>
    <w:p w:rsidR="00564415" w:rsidRDefault="00564415" w:rsidP="00564415">
      <w:pPr>
        <w:pStyle w:val="Heading1"/>
        <w:rPr>
          <w:rFonts w:ascii="Arial" w:hAnsi="Arial" w:cs="Arial"/>
          <w:b/>
          <w:color w:val="000080"/>
        </w:rPr>
      </w:pPr>
      <w:r>
        <w:rPr>
          <w:rFonts w:ascii="Arial" w:hAnsi="Arial" w:cs="Arial"/>
          <w:b/>
          <w:color w:val="000080"/>
        </w:rPr>
        <w:t>Balances and Reserves</w:t>
      </w:r>
    </w:p>
    <w:p w:rsidR="00564415" w:rsidRDefault="00564415" w:rsidP="00564415">
      <w:pPr>
        <w:rPr>
          <w:rFonts w:ascii="Arial" w:hAnsi="Arial" w:cs="Arial"/>
          <w:sz w:val="22"/>
        </w:rPr>
      </w:pPr>
    </w:p>
    <w:p w:rsidR="00564415" w:rsidRDefault="00564415" w:rsidP="00564415">
      <w:pPr>
        <w:pStyle w:val="BodyText"/>
        <w:jc w:val="left"/>
        <w:rPr>
          <w:rFonts w:ascii="Arial" w:hAnsi="Arial" w:cs="Arial"/>
          <w:sz w:val="22"/>
        </w:rPr>
      </w:pPr>
      <w:r>
        <w:rPr>
          <w:rFonts w:ascii="Arial" w:hAnsi="Arial" w:cs="Arial"/>
          <w:sz w:val="22"/>
        </w:rPr>
        <w:t>The balances on the General Fund and the Housing Revenue Account were at £</w:t>
      </w:r>
      <w:r w:rsidR="000A0C0B">
        <w:rPr>
          <w:rFonts w:ascii="Arial" w:hAnsi="Arial" w:cs="Arial"/>
          <w:sz w:val="22"/>
        </w:rPr>
        <w:t>11.12</w:t>
      </w:r>
      <w:r>
        <w:rPr>
          <w:rFonts w:ascii="Arial" w:hAnsi="Arial" w:cs="Arial"/>
          <w:sz w:val="22"/>
        </w:rPr>
        <w:t xml:space="preserve"> million </w:t>
      </w:r>
      <w:r w:rsidR="005A04A5">
        <w:rPr>
          <w:rFonts w:ascii="Arial" w:hAnsi="Arial" w:cs="Arial"/>
          <w:sz w:val="22"/>
        </w:rPr>
        <w:t xml:space="preserve">(to be partly offset by a future liability on the Collection Fund) </w:t>
      </w:r>
      <w:r>
        <w:rPr>
          <w:rFonts w:ascii="Arial" w:hAnsi="Arial" w:cs="Arial"/>
          <w:sz w:val="22"/>
        </w:rPr>
        <w:t>and £</w:t>
      </w:r>
      <w:r w:rsidR="00C6627A">
        <w:rPr>
          <w:rFonts w:ascii="Arial" w:hAnsi="Arial" w:cs="Arial"/>
          <w:sz w:val="22"/>
        </w:rPr>
        <w:t>2.4</w:t>
      </w:r>
      <w:r w:rsidR="000A0C0B">
        <w:rPr>
          <w:rFonts w:ascii="Arial" w:hAnsi="Arial" w:cs="Arial"/>
          <w:sz w:val="22"/>
        </w:rPr>
        <w:t>9</w:t>
      </w:r>
      <w:r>
        <w:rPr>
          <w:rFonts w:ascii="Arial" w:hAnsi="Arial" w:cs="Arial"/>
          <w:sz w:val="22"/>
        </w:rPr>
        <w:t xml:space="preserve"> million respectively as at 31 March 201</w:t>
      </w:r>
      <w:r w:rsidR="000A0C0B">
        <w:rPr>
          <w:rFonts w:ascii="Arial" w:hAnsi="Arial" w:cs="Arial"/>
          <w:sz w:val="22"/>
        </w:rPr>
        <w:t>4</w:t>
      </w:r>
      <w:r>
        <w:rPr>
          <w:rFonts w:ascii="Arial" w:hAnsi="Arial" w:cs="Arial"/>
          <w:sz w:val="22"/>
        </w:rPr>
        <w:t xml:space="preserve"> - this compares to the proposed minimum level of balances of £</w:t>
      </w:r>
      <w:r w:rsidR="005B7AD2">
        <w:rPr>
          <w:rFonts w:ascii="Arial" w:hAnsi="Arial" w:cs="Arial"/>
          <w:sz w:val="22"/>
        </w:rPr>
        <w:t>2</w:t>
      </w:r>
      <w:r>
        <w:rPr>
          <w:rFonts w:ascii="Arial" w:hAnsi="Arial" w:cs="Arial"/>
          <w:sz w:val="22"/>
        </w:rPr>
        <w:t>.5 million (General Fund) and £2.0 million (Housing Revenue Account). These will be used to meet the cost of services in future years and to keep down any increases in council tax/rents.</w:t>
      </w:r>
    </w:p>
    <w:p w:rsidR="00564415" w:rsidRDefault="00564415" w:rsidP="00564415">
      <w:pPr>
        <w:pStyle w:val="BodyText"/>
        <w:jc w:val="left"/>
        <w:rPr>
          <w:rFonts w:ascii="Arial" w:hAnsi="Arial" w:cs="Arial"/>
          <w:sz w:val="22"/>
        </w:rPr>
      </w:pPr>
    </w:p>
    <w:p w:rsidR="00564415" w:rsidRDefault="00564415" w:rsidP="00564415">
      <w:pPr>
        <w:rPr>
          <w:rFonts w:ascii="Arial" w:hAnsi="Arial" w:cs="Arial"/>
          <w:sz w:val="22"/>
        </w:rPr>
      </w:pPr>
      <w:r>
        <w:rPr>
          <w:rFonts w:ascii="Arial" w:hAnsi="Arial" w:cs="Arial"/>
          <w:sz w:val="22"/>
        </w:rPr>
        <w:t>Reserves available for capital expenditure stood at £</w:t>
      </w:r>
      <w:r w:rsidR="00D0567A">
        <w:rPr>
          <w:rFonts w:ascii="Arial" w:hAnsi="Arial" w:cs="Arial"/>
          <w:sz w:val="22"/>
        </w:rPr>
        <w:t xml:space="preserve">4.15 </w:t>
      </w:r>
      <w:r>
        <w:rPr>
          <w:rFonts w:ascii="Arial" w:hAnsi="Arial" w:cs="Arial"/>
          <w:sz w:val="22"/>
        </w:rPr>
        <w:t xml:space="preserve">million, consisting of the usable capital receipts reserve and capital grants unapplied. After having to reduce the capital programme for several years, it is now projected to increase from an original estimate of </w:t>
      </w:r>
      <w:r w:rsidRPr="00C6627A">
        <w:rPr>
          <w:rFonts w:ascii="Arial" w:hAnsi="Arial" w:cs="Arial"/>
          <w:sz w:val="22"/>
        </w:rPr>
        <w:t>£</w:t>
      </w:r>
      <w:r w:rsidR="00770041" w:rsidRPr="00C6627A">
        <w:rPr>
          <w:rFonts w:ascii="Arial" w:hAnsi="Arial" w:cs="Arial"/>
          <w:sz w:val="22"/>
        </w:rPr>
        <w:t>8.33</w:t>
      </w:r>
      <w:r w:rsidR="00770041">
        <w:rPr>
          <w:rFonts w:ascii="Arial" w:hAnsi="Arial" w:cs="Arial"/>
          <w:sz w:val="22"/>
        </w:rPr>
        <w:t xml:space="preserve"> million in 201</w:t>
      </w:r>
      <w:r w:rsidR="00C6627A">
        <w:rPr>
          <w:rFonts w:ascii="Arial" w:hAnsi="Arial" w:cs="Arial"/>
          <w:sz w:val="22"/>
        </w:rPr>
        <w:t>1</w:t>
      </w:r>
      <w:r w:rsidR="00770041">
        <w:rPr>
          <w:rFonts w:ascii="Arial" w:hAnsi="Arial" w:cs="Arial"/>
          <w:sz w:val="22"/>
        </w:rPr>
        <w:t>-</w:t>
      </w:r>
      <w:r w:rsidR="00B41CDF">
        <w:rPr>
          <w:rFonts w:ascii="Arial" w:hAnsi="Arial" w:cs="Arial"/>
          <w:sz w:val="22"/>
        </w:rPr>
        <w:t>1</w:t>
      </w:r>
      <w:r w:rsidR="00C6627A">
        <w:rPr>
          <w:rFonts w:ascii="Arial" w:hAnsi="Arial" w:cs="Arial"/>
          <w:sz w:val="22"/>
        </w:rPr>
        <w:t>2</w:t>
      </w:r>
      <w:r w:rsidR="00B41CDF">
        <w:rPr>
          <w:rFonts w:ascii="Arial" w:hAnsi="Arial" w:cs="Arial"/>
          <w:sz w:val="22"/>
        </w:rPr>
        <w:t xml:space="preserve"> to £</w:t>
      </w:r>
      <w:r w:rsidR="000A0C0B">
        <w:rPr>
          <w:rFonts w:ascii="Arial" w:hAnsi="Arial" w:cs="Arial"/>
          <w:sz w:val="22"/>
        </w:rPr>
        <w:t>19.37</w:t>
      </w:r>
      <w:r w:rsidR="00B41CDF">
        <w:rPr>
          <w:rFonts w:ascii="Arial" w:hAnsi="Arial" w:cs="Arial"/>
          <w:sz w:val="22"/>
        </w:rPr>
        <w:t xml:space="preserve"> million in 201</w:t>
      </w:r>
      <w:r w:rsidR="00EA7390">
        <w:rPr>
          <w:rFonts w:ascii="Arial" w:hAnsi="Arial" w:cs="Arial"/>
          <w:sz w:val="22"/>
        </w:rPr>
        <w:t>7</w:t>
      </w:r>
      <w:r w:rsidR="00B41CDF">
        <w:rPr>
          <w:rFonts w:ascii="Arial" w:hAnsi="Arial" w:cs="Arial"/>
          <w:sz w:val="22"/>
        </w:rPr>
        <w:t>-</w:t>
      </w:r>
      <w:r w:rsidRPr="004E482E">
        <w:rPr>
          <w:rFonts w:ascii="Arial" w:hAnsi="Arial" w:cs="Arial"/>
          <w:sz w:val="22"/>
        </w:rPr>
        <w:t>1</w:t>
      </w:r>
      <w:r w:rsidR="00EA7390">
        <w:rPr>
          <w:rFonts w:ascii="Arial" w:hAnsi="Arial" w:cs="Arial"/>
          <w:sz w:val="22"/>
        </w:rPr>
        <w:t>8</w:t>
      </w:r>
      <w:r>
        <w:rPr>
          <w:rFonts w:ascii="Arial" w:hAnsi="Arial" w:cs="Arial"/>
          <w:sz w:val="22"/>
        </w:rPr>
        <w:t xml:space="preserve"> as a result of additional funding available on the housing account.</w:t>
      </w:r>
    </w:p>
    <w:p w:rsidR="00564415" w:rsidRDefault="00564415" w:rsidP="00564415"/>
    <w:p w:rsidR="00564415" w:rsidRDefault="00564415" w:rsidP="00564415"/>
    <w:p w:rsidR="00153C5F" w:rsidRDefault="00153C5F" w:rsidP="00564415"/>
    <w:p w:rsidR="00564415" w:rsidRDefault="00564415" w:rsidP="00564415">
      <w:pPr>
        <w:pStyle w:val="Heading6"/>
        <w:jc w:val="left"/>
        <w:rPr>
          <w:rFonts w:ascii="Arial" w:hAnsi="Arial" w:cs="Arial"/>
          <w:bCs/>
        </w:rPr>
      </w:pPr>
      <w:r>
        <w:rPr>
          <w:rFonts w:ascii="Arial" w:hAnsi="Arial" w:cs="Arial"/>
          <w:bCs/>
        </w:rPr>
        <w:t>Pensions</w:t>
      </w:r>
    </w:p>
    <w:p w:rsidR="00564415" w:rsidRPr="000414DA" w:rsidRDefault="00564415" w:rsidP="00564415"/>
    <w:p w:rsidR="00564415" w:rsidRDefault="00564415" w:rsidP="00564415">
      <w:pPr>
        <w:pStyle w:val="BodyText"/>
        <w:jc w:val="left"/>
        <w:rPr>
          <w:rFonts w:ascii="Arial" w:hAnsi="Arial" w:cs="Arial"/>
          <w:sz w:val="22"/>
        </w:rPr>
      </w:pPr>
      <w:r>
        <w:rPr>
          <w:rFonts w:ascii="Arial" w:hAnsi="Arial" w:cs="Arial"/>
          <w:sz w:val="22"/>
        </w:rPr>
        <w:t>The accounting policy relating to pensions reflects International Accounting Standard 19 Employee Benefits whereby pension liabilities incurred during the year are charged to the cost of services and then reversed out with the pension deficit being shown as a liability in the balance sheet.</w:t>
      </w:r>
    </w:p>
    <w:p w:rsidR="00564415" w:rsidRDefault="00564415" w:rsidP="00564415">
      <w:pPr>
        <w:rPr>
          <w:rFonts w:ascii="Arial" w:hAnsi="Arial" w:cs="Arial"/>
          <w:sz w:val="22"/>
        </w:rPr>
      </w:pPr>
    </w:p>
    <w:p w:rsidR="00564415" w:rsidRDefault="00564415" w:rsidP="00564415">
      <w:pPr>
        <w:rPr>
          <w:rFonts w:ascii="Arial" w:hAnsi="Arial" w:cs="Arial"/>
          <w:sz w:val="22"/>
        </w:rPr>
      </w:pPr>
      <w:r>
        <w:rPr>
          <w:rFonts w:ascii="Arial" w:hAnsi="Arial" w:cs="Arial"/>
          <w:sz w:val="22"/>
        </w:rPr>
        <w:t>South Cambridgeshire’s pension deficit is estimated at £</w:t>
      </w:r>
      <w:r w:rsidR="000A0C0B">
        <w:rPr>
          <w:rFonts w:ascii="Arial" w:hAnsi="Arial" w:cs="Arial"/>
          <w:sz w:val="22"/>
        </w:rPr>
        <w:t>48.245</w:t>
      </w:r>
      <w:r w:rsidR="002E61C5">
        <w:rPr>
          <w:rFonts w:ascii="Arial" w:hAnsi="Arial" w:cs="Arial"/>
          <w:sz w:val="22"/>
        </w:rPr>
        <w:t xml:space="preserve"> </w:t>
      </w:r>
      <w:r>
        <w:rPr>
          <w:rFonts w:ascii="Arial" w:hAnsi="Arial" w:cs="Arial"/>
          <w:sz w:val="22"/>
        </w:rPr>
        <w:t>million as at 31 March 201</w:t>
      </w:r>
      <w:r w:rsidR="000A0C0B">
        <w:rPr>
          <w:rFonts w:ascii="Arial" w:hAnsi="Arial" w:cs="Arial"/>
          <w:sz w:val="22"/>
        </w:rPr>
        <w:t>4</w:t>
      </w:r>
      <w:r>
        <w:rPr>
          <w:rFonts w:ascii="Arial" w:hAnsi="Arial" w:cs="Arial"/>
          <w:sz w:val="22"/>
        </w:rPr>
        <w:t xml:space="preserve"> on an IAS 19 basis. With </w:t>
      </w:r>
      <w:r w:rsidR="006B51CE" w:rsidRPr="002E61C5">
        <w:rPr>
          <w:rFonts w:ascii="Arial" w:hAnsi="Arial" w:cs="Arial"/>
          <w:sz w:val="22"/>
        </w:rPr>
        <w:t>7</w:t>
      </w:r>
      <w:r w:rsidR="000A0C0B">
        <w:rPr>
          <w:rFonts w:ascii="Arial" w:hAnsi="Arial" w:cs="Arial"/>
          <w:sz w:val="22"/>
        </w:rPr>
        <w:t>8</w:t>
      </w:r>
      <w:r>
        <w:rPr>
          <w:rFonts w:ascii="Arial" w:hAnsi="Arial" w:cs="Arial"/>
          <w:sz w:val="22"/>
        </w:rPr>
        <w:t xml:space="preserve">% of the pension fund attributable to South Cambridgeshire invested in equities, the deficit can vary greatly from one year to the next. </w:t>
      </w:r>
    </w:p>
    <w:p w:rsidR="00564415" w:rsidRDefault="00564415" w:rsidP="00564415">
      <w:pPr>
        <w:rPr>
          <w:rFonts w:ascii="Arial" w:hAnsi="Arial" w:cs="Arial"/>
          <w:sz w:val="22"/>
        </w:rPr>
      </w:pPr>
    </w:p>
    <w:p w:rsidR="00564415" w:rsidRDefault="00564415" w:rsidP="00564415">
      <w:pPr>
        <w:rPr>
          <w:rFonts w:ascii="Arial" w:hAnsi="Arial" w:cs="Arial"/>
          <w:sz w:val="22"/>
        </w:rPr>
      </w:pPr>
      <w:r>
        <w:rPr>
          <w:rFonts w:ascii="Arial" w:hAnsi="Arial" w:cs="Arial"/>
          <w:sz w:val="22"/>
        </w:rPr>
        <w:t>The employ</w:t>
      </w:r>
      <w:r w:rsidR="00770041">
        <w:rPr>
          <w:rFonts w:ascii="Arial" w:hAnsi="Arial" w:cs="Arial"/>
          <w:sz w:val="22"/>
        </w:rPr>
        <w:t>er’s contribution rate for 201</w:t>
      </w:r>
      <w:r w:rsidR="00A51F86">
        <w:rPr>
          <w:rFonts w:ascii="Arial" w:hAnsi="Arial" w:cs="Arial"/>
          <w:sz w:val="22"/>
        </w:rPr>
        <w:t>3</w:t>
      </w:r>
      <w:r w:rsidR="00770041">
        <w:rPr>
          <w:rFonts w:ascii="Arial" w:hAnsi="Arial" w:cs="Arial"/>
          <w:sz w:val="22"/>
        </w:rPr>
        <w:t>-</w:t>
      </w:r>
      <w:r>
        <w:rPr>
          <w:rFonts w:ascii="Arial" w:hAnsi="Arial" w:cs="Arial"/>
          <w:sz w:val="22"/>
        </w:rPr>
        <w:t>1</w:t>
      </w:r>
      <w:r w:rsidR="00A51F86">
        <w:rPr>
          <w:rFonts w:ascii="Arial" w:hAnsi="Arial" w:cs="Arial"/>
          <w:sz w:val="22"/>
        </w:rPr>
        <w:t>4</w:t>
      </w:r>
      <w:r>
        <w:rPr>
          <w:rFonts w:ascii="Arial" w:hAnsi="Arial" w:cs="Arial"/>
          <w:color w:val="FF0000"/>
          <w:sz w:val="22"/>
        </w:rPr>
        <w:t xml:space="preserve"> </w:t>
      </w:r>
      <w:r w:rsidRPr="00673576">
        <w:rPr>
          <w:rFonts w:ascii="Arial" w:hAnsi="Arial" w:cs="Arial"/>
          <w:sz w:val="22"/>
        </w:rPr>
        <w:t xml:space="preserve">was </w:t>
      </w:r>
      <w:r w:rsidRPr="00EE4358">
        <w:rPr>
          <w:rFonts w:ascii="Arial" w:hAnsi="Arial" w:cs="Arial"/>
          <w:color w:val="000000"/>
          <w:sz w:val="22"/>
        </w:rPr>
        <w:t>21.7</w:t>
      </w:r>
      <w:r w:rsidRPr="00673576">
        <w:rPr>
          <w:rFonts w:ascii="Arial" w:hAnsi="Arial" w:cs="Arial"/>
          <w:color w:val="000000"/>
          <w:sz w:val="22"/>
        </w:rPr>
        <w:t>%</w:t>
      </w:r>
      <w:r w:rsidRPr="00673576">
        <w:rPr>
          <w:rFonts w:ascii="Arial" w:hAnsi="Arial" w:cs="Arial"/>
          <w:sz w:val="22"/>
        </w:rPr>
        <w:t>.</w:t>
      </w:r>
      <w:r>
        <w:rPr>
          <w:rFonts w:ascii="Arial" w:hAnsi="Arial" w:cs="Arial"/>
          <w:sz w:val="22"/>
        </w:rPr>
        <w:t xml:space="preserve"> The formal triennial valuation as at 31 March 201</w:t>
      </w:r>
      <w:r w:rsidR="00A51F86">
        <w:rPr>
          <w:rFonts w:ascii="Arial" w:hAnsi="Arial" w:cs="Arial"/>
          <w:sz w:val="22"/>
        </w:rPr>
        <w:t>3</w:t>
      </w:r>
      <w:r>
        <w:rPr>
          <w:rFonts w:ascii="Arial" w:hAnsi="Arial" w:cs="Arial"/>
          <w:sz w:val="22"/>
        </w:rPr>
        <w:t xml:space="preserve"> of assets and liabilities, for the purposes of determining contribution rate to be effective from </w:t>
      </w:r>
      <w:r w:rsidR="00A51F86">
        <w:rPr>
          <w:rFonts w:ascii="Arial" w:hAnsi="Arial" w:cs="Arial"/>
          <w:sz w:val="22"/>
        </w:rPr>
        <w:t>31 March 2014</w:t>
      </w:r>
      <w:r>
        <w:rPr>
          <w:rFonts w:ascii="Arial" w:hAnsi="Arial" w:cs="Arial"/>
          <w:sz w:val="22"/>
        </w:rPr>
        <w:t xml:space="preserve">, showed a </w:t>
      </w:r>
      <w:r w:rsidR="00F5063C" w:rsidRPr="00F5063C">
        <w:rPr>
          <w:rFonts w:ascii="Arial" w:hAnsi="Arial" w:cs="Arial"/>
          <w:sz w:val="22"/>
        </w:rPr>
        <w:t>61</w:t>
      </w:r>
      <w:r w:rsidRPr="00F5063C">
        <w:rPr>
          <w:rFonts w:ascii="Arial" w:hAnsi="Arial" w:cs="Arial"/>
          <w:sz w:val="22"/>
        </w:rPr>
        <w:t>%</w:t>
      </w:r>
      <w:r>
        <w:rPr>
          <w:rFonts w:ascii="Arial" w:hAnsi="Arial" w:cs="Arial"/>
          <w:sz w:val="22"/>
        </w:rPr>
        <w:t xml:space="preserve"> funding level, being the extent to which assets cover liabilities. The Council’s five-year financial projections allow for an increase in predicted rates up to a maximum </w:t>
      </w:r>
      <w:r w:rsidRPr="00AB6192">
        <w:rPr>
          <w:rFonts w:ascii="Arial" w:hAnsi="Arial" w:cs="Arial"/>
          <w:sz w:val="22"/>
        </w:rPr>
        <w:t>of 25</w:t>
      </w:r>
      <w:r>
        <w:rPr>
          <w:rFonts w:ascii="Arial" w:hAnsi="Arial" w:cs="Arial"/>
          <w:sz w:val="22"/>
        </w:rPr>
        <w:t>% in view of the Government’s intention to review the long-term affordability of public sector pensions.</w:t>
      </w:r>
    </w:p>
    <w:p w:rsidR="00564415" w:rsidRDefault="00564415" w:rsidP="00564415">
      <w:pPr>
        <w:rPr>
          <w:rFonts w:ascii="Arial" w:hAnsi="Arial" w:cs="Arial"/>
          <w:sz w:val="22"/>
        </w:rPr>
      </w:pPr>
    </w:p>
    <w:p w:rsidR="00564415" w:rsidRDefault="00564415" w:rsidP="00564415">
      <w:pPr>
        <w:rPr>
          <w:rFonts w:ascii="Arial" w:hAnsi="Arial" w:cs="Arial"/>
          <w:sz w:val="22"/>
        </w:rPr>
      </w:pPr>
      <w:r>
        <w:rPr>
          <w:noProof/>
          <w:lang w:eastAsia="en-GB"/>
        </w:rPr>
        <mc:AlternateContent>
          <mc:Choice Requires="wps">
            <w:drawing>
              <wp:anchor distT="4294967295" distB="4294967295" distL="114299" distR="114299" simplePos="0" relativeHeight="251728896" behindDoc="0" locked="0" layoutInCell="1" allowOverlap="1">
                <wp:simplePos x="0" y="0"/>
                <wp:positionH relativeFrom="column">
                  <wp:posOffset>294004</wp:posOffset>
                </wp:positionH>
                <wp:positionV relativeFrom="paragraph">
                  <wp:posOffset>593089</wp:posOffset>
                </wp:positionV>
                <wp:extent cx="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288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15pt,46.7pt" to="23.1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W3FwIAADIEAAAOAAAAZHJzL2Uyb0RvYy54bWysU8GO2jAQvVfqP1i5QxI2U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"/>
            </w:pict>
          </mc:Fallback>
        </mc:AlternateContent>
      </w:r>
      <w:r>
        <w:rPr>
          <w:rFonts w:ascii="Arial" w:hAnsi="Arial" w:cs="Arial"/>
          <w:sz w:val="22"/>
        </w:rPr>
        <w:t>The triennial valuation discounts future liabilities at a rate based on the expected return from the pension fund’s investments which are mainly stocks and shares. A valuation using a risk free discount rate, that is, based on Government Bonds, would give a much lower funding level and the employer’s contribution rate would be substantially higher.</w:t>
      </w:r>
    </w:p>
    <w:p w:rsidR="00564415" w:rsidRDefault="00564415" w:rsidP="00564415">
      <w:pPr>
        <w:rPr>
          <w:rFonts w:ascii="Arial" w:hAnsi="Arial" w:cs="Arial"/>
          <w:sz w:val="22"/>
        </w:rPr>
      </w:pPr>
    </w:p>
    <w:p w:rsidR="00FA6217" w:rsidRPr="00EE4358" w:rsidRDefault="00564415" w:rsidP="005C6161">
      <w:pPr>
        <w:rPr>
          <w:rFonts w:ascii="Arial" w:hAnsi="Arial" w:cs="Arial"/>
          <w:sz w:val="22"/>
        </w:rPr>
      </w:pPr>
      <w:r>
        <w:rPr>
          <w:rFonts w:ascii="Arial" w:hAnsi="Arial" w:cs="Arial"/>
          <w:sz w:val="22"/>
        </w:rPr>
        <w:lastRenderedPageBreak/>
        <w:t xml:space="preserve">In view of the uncertainty over future pension costs, an additional </w:t>
      </w:r>
      <w:r w:rsidR="00EE4358" w:rsidRPr="00EE4358">
        <w:rPr>
          <w:rFonts w:ascii="Arial" w:hAnsi="Arial" w:cs="Arial"/>
          <w:sz w:val="22"/>
        </w:rPr>
        <w:t>3.3</w:t>
      </w:r>
      <w:r w:rsidRPr="00EE4358">
        <w:rPr>
          <w:rFonts w:ascii="Arial" w:hAnsi="Arial" w:cs="Arial"/>
          <w:sz w:val="22"/>
        </w:rPr>
        <w:t>%</w:t>
      </w:r>
      <w:r>
        <w:rPr>
          <w:rFonts w:ascii="Arial" w:hAnsi="Arial" w:cs="Arial"/>
          <w:sz w:val="22"/>
        </w:rPr>
        <w:t xml:space="preserve"> of pensionable pay has been charged against the General Fund and the Housing Revenue Account and placed in a reserve for use in future years</w:t>
      </w:r>
      <w:r w:rsidR="00A809A2">
        <w:rPr>
          <w:rFonts w:ascii="Arial" w:hAnsi="Arial" w:cs="Arial"/>
          <w:sz w:val="22"/>
        </w:rPr>
        <w:t xml:space="preserve"> (Notes 6</w:t>
      </w:r>
      <w:r w:rsidR="002E188C">
        <w:rPr>
          <w:rFonts w:ascii="Arial" w:hAnsi="Arial" w:cs="Arial"/>
          <w:sz w:val="22"/>
        </w:rPr>
        <w:t>, 23</w:t>
      </w:r>
      <w:r w:rsidR="00A809A2">
        <w:rPr>
          <w:rFonts w:ascii="Arial" w:hAnsi="Arial" w:cs="Arial"/>
          <w:sz w:val="22"/>
        </w:rPr>
        <w:t xml:space="preserve"> and 4</w:t>
      </w:r>
      <w:r w:rsidR="00D0567A">
        <w:rPr>
          <w:rFonts w:ascii="Arial" w:hAnsi="Arial" w:cs="Arial"/>
          <w:sz w:val="22"/>
        </w:rPr>
        <w:t>4</w:t>
      </w:r>
      <w:r w:rsidR="00A809A2">
        <w:rPr>
          <w:rFonts w:ascii="Arial" w:hAnsi="Arial" w:cs="Arial"/>
          <w:sz w:val="22"/>
        </w:rPr>
        <w:t>)</w:t>
      </w:r>
      <w:r w:rsidR="00EE4358">
        <w:rPr>
          <w:rFonts w:ascii="Arial" w:hAnsi="Arial" w:cs="Arial"/>
          <w:sz w:val="22"/>
        </w:rPr>
        <w:t xml:space="preserve">. </w:t>
      </w:r>
    </w:p>
    <w:p w:rsidR="00FA6217" w:rsidRDefault="00FA6217" w:rsidP="00564415">
      <w:pPr>
        <w:pStyle w:val="xl65"/>
        <w:spacing w:before="0" w:beforeAutospacing="0" w:after="0" w:afterAutospacing="0"/>
        <w:rPr>
          <w:rFonts w:eastAsia="Times New Roman"/>
          <w:szCs w:val="20"/>
        </w:rPr>
      </w:pPr>
    </w:p>
    <w:p w:rsidR="00153C5F" w:rsidRPr="00FA6217" w:rsidRDefault="00FA6217" w:rsidP="00564415">
      <w:pPr>
        <w:pStyle w:val="xl65"/>
        <w:spacing w:before="0" w:beforeAutospacing="0" w:after="0" w:afterAutospacing="0"/>
        <w:rPr>
          <w:rFonts w:eastAsia="Times New Roman"/>
          <w:b/>
          <w:color w:val="000099"/>
          <w:sz w:val="24"/>
          <w:szCs w:val="24"/>
        </w:rPr>
      </w:pPr>
      <w:r w:rsidRPr="00FA6217">
        <w:rPr>
          <w:rFonts w:eastAsia="Times New Roman"/>
          <w:b/>
          <w:color w:val="000099"/>
          <w:sz w:val="24"/>
          <w:szCs w:val="24"/>
        </w:rPr>
        <w:t>Change in Accounting Policy</w:t>
      </w:r>
    </w:p>
    <w:p w:rsidR="00FA6217" w:rsidRDefault="00FA6217" w:rsidP="00564415">
      <w:pPr>
        <w:pStyle w:val="xl65"/>
        <w:spacing w:before="0" w:beforeAutospacing="0" w:after="0" w:afterAutospacing="0"/>
        <w:rPr>
          <w:rFonts w:eastAsia="Times New Roman"/>
          <w:szCs w:val="20"/>
        </w:rPr>
      </w:pPr>
    </w:p>
    <w:p w:rsidR="00EE4358" w:rsidRDefault="00EE4358" w:rsidP="00564415">
      <w:pPr>
        <w:pStyle w:val="xl65"/>
        <w:spacing w:before="0" w:beforeAutospacing="0" w:after="0" w:afterAutospacing="0"/>
        <w:rPr>
          <w:rFonts w:eastAsia="Times New Roman"/>
          <w:b/>
          <w:color w:val="003399"/>
          <w:szCs w:val="20"/>
        </w:rPr>
      </w:pPr>
      <w:r w:rsidRPr="00EE4358">
        <w:rPr>
          <w:rFonts w:eastAsia="Times New Roman"/>
          <w:b/>
          <w:color w:val="003399"/>
          <w:szCs w:val="20"/>
        </w:rPr>
        <w:t>Pensions</w:t>
      </w:r>
    </w:p>
    <w:p w:rsidR="00EE4358" w:rsidRPr="00EE4358" w:rsidRDefault="00EE4358" w:rsidP="00564415">
      <w:pPr>
        <w:pStyle w:val="xl65"/>
        <w:spacing w:before="0" w:beforeAutospacing="0" w:after="0" w:afterAutospacing="0"/>
        <w:rPr>
          <w:rFonts w:eastAsia="Times New Roman"/>
          <w:b/>
          <w:color w:val="003399"/>
          <w:szCs w:val="20"/>
        </w:rPr>
      </w:pPr>
    </w:p>
    <w:p w:rsidR="00EE4358" w:rsidRPr="00EE4358" w:rsidRDefault="00EE4358" w:rsidP="00EE4358">
      <w:pPr>
        <w:spacing w:after="200" w:line="276" w:lineRule="auto"/>
        <w:rPr>
          <w:rFonts w:ascii="Arial" w:eastAsia="Calibri" w:hAnsi="Arial" w:cs="Arial"/>
          <w:sz w:val="22"/>
          <w:szCs w:val="22"/>
        </w:rPr>
      </w:pPr>
      <w:r w:rsidRPr="00EE4358">
        <w:rPr>
          <w:rFonts w:ascii="Arial" w:eastAsia="Calibri" w:hAnsi="Arial" w:cs="Arial"/>
          <w:sz w:val="22"/>
          <w:szCs w:val="22"/>
        </w:rPr>
        <w:t>The 2013-14 CIPFA Code includes the amendments to International Accounting Standard (IAS) 19 in</w:t>
      </w:r>
      <w:r w:rsidR="004A6DC0">
        <w:rPr>
          <w:rFonts w:ascii="Arial" w:eastAsia="Calibri" w:hAnsi="Arial" w:cs="Arial"/>
          <w:sz w:val="22"/>
          <w:szCs w:val="22"/>
        </w:rPr>
        <w:t>troduced in</w:t>
      </w:r>
      <w:r w:rsidRPr="00EE4358">
        <w:rPr>
          <w:rFonts w:ascii="Arial" w:eastAsia="Calibri" w:hAnsi="Arial" w:cs="Arial"/>
          <w:sz w:val="22"/>
          <w:szCs w:val="22"/>
        </w:rPr>
        <w:t xml:space="preserve"> 2011, effective from 1 April 2013, these include new classes of components of defined benefit cost to be recognised in the financial statements (i.e. net interest on the defined benefit liability (asset) and </w:t>
      </w:r>
      <w:r w:rsidR="005A04A5">
        <w:rPr>
          <w:rFonts w:ascii="Arial" w:eastAsia="Calibri" w:hAnsi="Arial" w:cs="Arial"/>
          <w:sz w:val="22"/>
          <w:szCs w:val="22"/>
        </w:rPr>
        <w:t>r</w:t>
      </w:r>
      <w:r w:rsidRPr="00EE4358">
        <w:rPr>
          <w:rFonts w:ascii="Arial" w:eastAsia="Calibri" w:hAnsi="Arial" w:cs="Arial"/>
          <w:sz w:val="22"/>
          <w:szCs w:val="22"/>
        </w:rPr>
        <w:t>emeasurements of the net defined liability (asset)), and, w</w:t>
      </w:r>
      <w:r w:rsidR="005A04A5">
        <w:rPr>
          <w:rFonts w:ascii="Arial" w:eastAsia="Calibri" w:hAnsi="Arial" w:cs="Arial"/>
          <w:sz w:val="22"/>
          <w:szCs w:val="22"/>
        </w:rPr>
        <w:t>here there is a material impact</w:t>
      </w:r>
      <w:r w:rsidRPr="00EE4358">
        <w:rPr>
          <w:rFonts w:ascii="Arial" w:eastAsia="Calibri" w:hAnsi="Arial" w:cs="Arial"/>
          <w:sz w:val="22"/>
          <w:szCs w:val="22"/>
        </w:rPr>
        <w:t xml:space="preserve">, new definitions or recognition criteria for service costs, e.g. past service costs and new recognition criteria for termination benefits.  This represents a change in accounting policy which has required the restatement of the 2012-13 Comprehensive Income and Expenditure account and notes as it relates to pension. </w:t>
      </w:r>
    </w:p>
    <w:p w:rsidR="00FA6217" w:rsidRDefault="00FA6217" w:rsidP="00564415">
      <w:pPr>
        <w:pStyle w:val="xl65"/>
        <w:spacing w:before="0" w:beforeAutospacing="0" w:after="0" w:afterAutospacing="0"/>
        <w:rPr>
          <w:rFonts w:eastAsia="Times New Roman"/>
          <w:szCs w:val="20"/>
        </w:rPr>
      </w:pPr>
    </w:p>
    <w:p w:rsidR="00564415" w:rsidRDefault="00564415" w:rsidP="00564415">
      <w:pPr>
        <w:pStyle w:val="Heading1"/>
        <w:rPr>
          <w:rFonts w:ascii="Arial" w:hAnsi="Arial" w:cs="Arial"/>
          <w:b/>
          <w:color w:val="000080"/>
        </w:rPr>
      </w:pPr>
      <w:r>
        <w:rPr>
          <w:rFonts w:ascii="Arial" w:hAnsi="Arial" w:cs="Arial"/>
          <w:b/>
          <w:color w:val="000080"/>
        </w:rPr>
        <w:t xml:space="preserve">Council Tax </w:t>
      </w:r>
    </w:p>
    <w:p w:rsidR="00564415" w:rsidRDefault="00564415" w:rsidP="00564415">
      <w:pPr>
        <w:rPr>
          <w:rFonts w:ascii="Arial" w:hAnsi="Arial" w:cs="Arial"/>
          <w:sz w:val="22"/>
        </w:rPr>
      </w:pPr>
    </w:p>
    <w:p w:rsidR="00564415" w:rsidRPr="001952AD" w:rsidRDefault="00564415" w:rsidP="00564415">
      <w:pPr>
        <w:pStyle w:val="BodyText"/>
        <w:jc w:val="left"/>
        <w:rPr>
          <w:rFonts w:ascii="Arial" w:hAnsi="Arial" w:cs="Arial"/>
          <w:sz w:val="22"/>
        </w:rPr>
      </w:pPr>
      <w:r w:rsidRPr="001952AD">
        <w:rPr>
          <w:rFonts w:ascii="Arial" w:hAnsi="Arial" w:cs="Arial"/>
          <w:sz w:val="22"/>
        </w:rPr>
        <w:t>The council tax is set in terms of a band D property which is in the valuation band from £68,001 to £88,000 at 1991 prices. For a band D pro</w:t>
      </w:r>
      <w:r w:rsidR="00770041" w:rsidRPr="001952AD">
        <w:rPr>
          <w:rFonts w:ascii="Arial" w:hAnsi="Arial" w:cs="Arial"/>
          <w:sz w:val="22"/>
        </w:rPr>
        <w:t>perty, the council tax for 201</w:t>
      </w:r>
      <w:r w:rsidR="001952AD" w:rsidRPr="001952AD">
        <w:rPr>
          <w:rFonts w:ascii="Arial" w:hAnsi="Arial" w:cs="Arial"/>
          <w:sz w:val="22"/>
        </w:rPr>
        <w:t>3</w:t>
      </w:r>
      <w:r w:rsidR="00770041" w:rsidRPr="001952AD">
        <w:rPr>
          <w:rFonts w:ascii="Arial" w:hAnsi="Arial" w:cs="Arial"/>
          <w:sz w:val="22"/>
        </w:rPr>
        <w:t>-</w:t>
      </w:r>
      <w:r w:rsidRPr="001952AD">
        <w:rPr>
          <w:rFonts w:ascii="Arial" w:hAnsi="Arial" w:cs="Arial"/>
          <w:sz w:val="22"/>
        </w:rPr>
        <w:t>1</w:t>
      </w:r>
      <w:r w:rsidR="001952AD" w:rsidRPr="001952AD">
        <w:rPr>
          <w:rFonts w:ascii="Arial" w:hAnsi="Arial" w:cs="Arial"/>
          <w:sz w:val="22"/>
        </w:rPr>
        <w:t>4</w:t>
      </w:r>
      <w:r w:rsidRPr="001952AD">
        <w:rPr>
          <w:rFonts w:ascii="Arial" w:hAnsi="Arial" w:cs="Arial"/>
          <w:sz w:val="22"/>
        </w:rPr>
        <w:t xml:space="preserve"> was £1,</w:t>
      </w:r>
      <w:r w:rsidR="001952AD" w:rsidRPr="001952AD">
        <w:rPr>
          <w:rFonts w:ascii="Arial" w:hAnsi="Arial" w:cs="Arial"/>
          <w:sz w:val="22"/>
        </w:rPr>
        <w:t>536.27</w:t>
      </w:r>
      <w:r w:rsidRPr="001952AD">
        <w:rPr>
          <w:rFonts w:ascii="Arial" w:hAnsi="Arial" w:cs="Arial"/>
          <w:sz w:val="22"/>
        </w:rPr>
        <w:t>. This was one of the lowest tax levels in the country and most of the money was raised on behalf of the County Council as shown below:</w:t>
      </w:r>
    </w:p>
    <w:p w:rsidR="00564415" w:rsidRPr="001952AD" w:rsidRDefault="00564415" w:rsidP="00564415">
      <w:pPr>
        <w:pStyle w:val="BodyText"/>
        <w:jc w:val="left"/>
        <w:rPr>
          <w:rFonts w:ascii="Arial" w:hAnsi="Arial" w:cs="Arial"/>
          <w:sz w:val="22"/>
        </w:rPr>
      </w:pPr>
    </w:p>
    <w:p w:rsidR="00564415" w:rsidRPr="001952AD" w:rsidRDefault="00564415" w:rsidP="00564415">
      <w:pPr>
        <w:pStyle w:val="BodyText"/>
        <w:jc w:val="left"/>
        <w:rPr>
          <w:rFonts w:ascii="Arial" w:hAnsi="Arial" w:cs="Arial"/>
          <w:sz w:val="22"/>
        </w:rPr>
      </w:pPr>
    </w:p>
    <w:p w:rsidR="002F06AB" w:rsidRDefault="00564415" w:rsidP="002F06AB">
      <w:pPr>
        <w:pStyle w:val="BodyText"/>
        <w:jc w:val="center"/>
        <w:rPr>
          <w:rFonts w:ascii="Arial" w:hAnsi="Arial" w:cs="Arial"/>
          <w:sz w:val="22"/>
        </w:rPr>
      </w:pPr>
      <w:r w:rsidRPr="001952AD">
        <w:rPr>
          <w:rFonts w:ascii="Arial" w:hAnsi="Arial" w:cs="Arial"/>
          <w:sz w:val="22"/>
        </w:rPr>
        <w:t xml:space="preserve">Total council tax bill </w:t>
      </w:r>
    </w:p>
    <w:p w:rsidR="00E74161" w:rsidRPr="001952AD" w:rsidRDefault="00E74161" w:rsidP="002F06AB">
      <w:pPr>
        <w:pStyle w:val="BodyText"/>
        <w:jc w:val="center"/>
        <w:rPr>
          <w:rFonts w:ascii="Arial" w:hAnsi="Arial" w:cs="Arial"/>
          <w:color w:val="000000"/>
          <w:sz w:val="22"/>
        </w:rPr>
      </w:pPr>
    </w:p>
    <w:p w:rsidR="00564415" w:rsidRPr="002C28FF" w:rsidRDefault="005C6161" w:rsidP="002F06AB">
      <w:pPr>
        <w:pStyle w:val="BodyText3"/>
        <w:jc w:val="center"/>
        <w:rPr>
          <w:noProof/>
          <w:highlight w:val="yellow"/>
          <w:lang w:eastAsia="en-GB"/>
        </w:rPr>
      </w:pPr>
      <w:r>
        <w:rPr>
          <w:noProof/>
          <w:lang w:eastAsia="en-GB"/>
        </w:rPr>
        <w:drawing>
          <wp:inline distT="0" distB="0" distL="0" distR="0" wp14:anchorId="2C9ACE9B" wp14:editId="49F4D039">
            <wp:extent cx="4867275" cy="2819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52AD" w:rsidRDefault="001952AD" w:rsidP="00564415">
      <w:pPr>
        <w:pStyle w:val="BodyText3"/>
        <w:jc w:val="left"/>
        <w:rPr>
          <w:rFonts w:ascii="Arial" w:hAnsi="Arial" w:cs="Arial"/>
          <w:color w:val="000000"/>
          <w:sz w:val="22"/>
          <w:highlight w:val="yellow"/>
        </w:rPr>
      </w:pPr>
    </w:p>
    <w:p w:rsidR="001952AD" w:rsidRDefault="001952AD" w:rsidP="00564415">
      <w:pPr>
        <w:pStyle w:val="BodyText3"/>
        <w:jc w:val="left"/>
        <w:rPr>
          <w:rFonts w:ascii="Arial" w:hAnsi="Arial" w:cs="Arial"/>
          <w:color w:val="000000"/>
          <w:sz w:val="22"/>
          <w:highlight w:val="yellow"/>
        </w:rPr>
      </w:pPr>
    </w:p>
    <w:p w:rsidR="001952AD" w:rsidRDefault="001952AD" w:rsidP="00564415">
      <w:pPr>
        <w:pStyle w:val="BodyText3"/>
        <w:jc w:val="left"/>
        <w:rPr>
          <w:rFonts w:ascii="Arial" w:hAnsi="Arial" w:cs="Arial"/>
          <w:color w:val="000000"/>
          <w:sz w:val="22"/>
          <w:highlight w:val="yellow"/>
        </w:rPr>
      </w:pPr>
    </w:p>
    <w:p w:rsidR="00564415" w:rsidRPr="00FA6217" w:rsidRDefault="00564415" w:rsidP="00564415">
      <w:pPr>
        <w:pStyle w:val="BodyText3"/>
        <w:jc w:val="left"/>
        <w:rPr>
          <w:rFonts w:ascii="Arial" w:hAnsi="Arial" w:cs="Arial"/>
          <w:color w:val="000000"/>
          <w:sz w:val="22"/>
        </w:rPr>
      </w:pPr>
      <w:r w:rsidRPr="00E74161">
        <w:rPr>
          <w:rFonts w:ascii="Arial" w:hAnsi="Arial" w:cs="Arial"/>
          <w:color w:val="000000"/>
          <w:sz w:val="22"/>
        </w:rPr>
        <w:t>However, looking only at the district element of the overall tax bill, South Cambridges</w:t>
      </w:r>
      <w:r w:rsidR="00770041" w:rsidRPr="00E74161">
        <w:rPr>
          <w:rFonts w:ascii="Arial" w:hAnsi="Arial" w:cs="Arial"/>
          <w:color w:val="000000"/>
          <w:sz w:val="22"/>
        </w:rPr>
        <w:t>hire is the 1</w:t>
      </w:r>
      <w:r w:rsidR="00E74161" w:rsidRPr="00E74161">
        <w:rPr>
          <w:rFonts w:ascii="Arial" w:hAnsi="Arial" w:cs="Arial"/>
          <w:color w:val="000000"/>
          <w:sz w:val="22"/>
        </w:rPr>
        <w:t>5</w:t>
      </w:r>
      <w:r w:rsidR="00770041" w:rsidRPr="00E74161">
        <w:rPr>
          <w:rFonts w:ascii="Arial" w:hAnsi="Arial" w:cs="Arial"/>
          <w:color w:val="000000"/>
          <w:sz w:val="22"/>
        </w:rPr>
        <w:t>th lowest in 201</w:t>
      </w:r>
      <w:r w:rsidR="00E74161" w:rsidRPr="00E74161">
        <w:rPr>
          <w:rFonts w:ascii="Arial" w:hAnsi="Arial" w:cs="Arial"/>
          <w:color w:val="000000"/>
          <w:sz w:val="22"/>
        </w:rPr>
        <w:t>3</w:t>
      </w:r>
      <w:r w:rsidR="00770041" w:rsidRPr="00E74161">
        <w:rPr>
          <w:rFonts w:ascii="Arial" w:hAnsi="Arial" w:cs="Arial"/>
          <w:color w:val="000000"/>
          <w:sz w:val="22"/>
        </w:rPr>
        <w:t>-</w:t>
      </w:r>
      <w:r w:rsidRPr="00E74161">
        <w:rPr>
          <w:rFonts w:ascii="Arial" w:hAnsi="Arial" w:cs="Arial"/>
          <w:color w:val="000000"/>
          <w:sz w:val="22"/>
        </w:rPr>
        <w:t>1</w:t>
      </w:r>
      <w:r w:rsidR="00E74161" w:rsidRPr="00E74161">
        <w:rPr>
          <w:rFonts w:ascii="Arial" w:hAnsi="Arial" w:cs="Arial"/>
          <w:color w:val="000000"/>
          <w:sz w:val="22"/>
        </w:rPr>
        <w:t>4</w:t>
      </w:r>
      <w:r w:rsidRPr="00E74161">
        <w:rPr>
          <w:rFonts w:ascii="Arial" w:hAnsi="Arial" w:cs="Arial"/>
          <w:color w:val="000000"/>
          <w:sz w:val="22"/>
        </w:rPr>
        <w:t xml:space="preserve"> at £</w:t>
      </w:r>
      <w:r w:rsidR="00E74161" w:rsidRPr="00E74161">
        <w:rPr>
          <w:rFonts w:ascii="Arial" w:hAnsi="Arial" w:cs="Arial"/>
          <w:color w:val="000000"/>
          <w:sz w:val="22"/>
        </w:rPr>
        <w:t>120.46</w:t>
      </w:r>
      <w:r w:rsidRPr="00E74161">
        <w:rPr>
          <w:rFonts w:ascii="Arial" w:hAnsi="Arial" w:cs="Arial"/>
          <w:color w:val="000000"/>
          <w:sz w:val="22"/>
        </w:rPr>
        <w:t xml:space="preserve"> in a range of £</w:t>
      </w:r>
      <w:r w:rsidR="00E74161" w:rsidRPr="00E74161">
        <w:rPr>
          <w:rFonts w:ascii="Arial" w:hAnsi="Arial" w:cs="Arial"/>
          <w:color w:val="000000"/>
          <w:sz w:val="22"/>
        </w:rPr>
        <w:t>70.46</w:t>
      </w:r>
      <w:r w:rsidRPr="00E74161">
        <w:rPr>
          <w:rFonts w:ascii="Arial" w:hAnsi="Arial" w:cs="Arial"/>
          <w:color w:val="000000"/>
          <w:sz w:val="22"/>
        </w:rPr>
        <w:t xml:space="preserve"> to £</w:t>
      </w:r>
      <w:r w:rsidR="00E74161" w:rsidRPr="00E74161">
        <w:rPr>
          <w:rFonts w:ascii="Arial" w:hAnsi="Arial" w:cs="Arial"/>
          <w:color w:val="000000"/>
          <w:sz w:val="22"/>
        </w:rPr>
        <w:t>315.81</w:t>
      </w:r>
      <w:r w:rsidRPr="00E74161">
        <w:rPr>
          <w:rFonts w:ascii="Arial" w:hAnsi="Arial" w:cs="Arial"/>
          <w:color w:val="000000"/>
          <w:sz w:val="22"/>
        </w:rPr>
        <w:t>, with the average being £</w:t>
      </w:r>
      <w:r w:rsidR="00E74161" w:rsidRPr="00E74161">
        <w:rPr>
          <w:rFonts w:ascii="Arial" w:hAnsi="Arial" w:cs="Arial"/>
          <w:color w:val="000000"/>
          <w:sz w:val="22"/>
        </w:rPr>
        <w:t>169</w:t>
      </w:r>
      <w:r w:rsidR="00E74161">
        <w:rPr>
          <w:rFonts w:ascii="Arial" w:hAnsi="Arial" w:cs="Arial"/>
          <w:color w:val="000000"/>
          <w:sz w:val="22"/>
        </w:rPr>
        <w:t>.73</w:t>
      </w:r>
    </w:p>
    <w:p w:rsidR="006F0C59" w:rsidRPr="00FA6217" w:rsidRDefault="001952AD" w:rsidP="00564415">
      <w:pPr>
        <w:pStyle w:val="BodyText3"/>
        <w:jc w:val="left"/>
        <w:rPr>
          <w:rFonts w:ascii="Arial" w:hAnsi="Arial" w:cs="Arial"/>
          <w:color w:val="000000"/>
          <w:sz w:val="22"/>
        </w:rPr>
      </w:pPr>
      <w:r>
        <w:rPr>
          <w:noProof/>
          <w:lang w:eastAsia="en-GB"/>
        </w:rPr>
        <w:lastRenderedPageBreak/>
        <w:drawing>
          <wp:inline distT="0" distB="0" distL="0" distR="0" wp14:anchorId="22BF0953" wp14:editId="15D56ABB">
            <wp:extent cx="5760085" cy="286599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4415" w:rsidRPr="00657556" w:rsidRDefault="00564415" w:rsidP="00564415">
      <w:pPr>
        <w:pStyle w:val="BodyText3"/>
        <w:jc w:val="left"/>
        <w:rPr>
          <w:rFonts w:ascii="Arial" w:hAnsi="Arial" w:cs="Arial"/>
          <w:color w:val="000000"/>
          <w:sz w:val="22"/>
        </w:rPr>
      </w:pPr>
      <w:r>
        <w:rPr>
          <w:rFonts w:ascii="Arial" w:hAnsi="Arial" w:cs="Arial"/>
          <w:bCs/>
          <w:color w:val="auto"/>
          <w:sz w:val="22"/>
        </w:rPr>
        <w:t>The ranking is:</w:t>
      </w:r>
    </w:p>
    <w:p w:rsidR="00564415" w:rsidRDefault="00564415" w:rsidP="00564415">
      <w:pPr>
        <w:pStyle w:val="BodyText3"/>
        <w:jc w:val="left"/>
        <w:rPr>
          <w:rFonts w:ascii="Arial" w:hAnsi="Arial" w:cs="Arial"/>
          <w:bCs/>
          <w:color w:val="auto"/>
          <w:sz w:val="22"/>
        </w:rPr>
      </w:pPr>
    </w:p>
    <w:tbl>
      <w:tblPr>
        <w:tblW w:w="8060" w:type="dxa"/>
        <w:tblInd w:w="93" w:type="dxa"/>
        <w:tblLook w:val="04A0" w:firstRow="1" w:lastRow="0" w:firstColumn="1" w:lastColumn="0" w:noHBand="0" w:noVBand="1"/>
      </w:tblPr>
      <w:tblGrid>
        <w:gridCol w:w="2300"/>
        <w:gridCol w:w="960"/>
        <w:gridCol w:w="960"/>
        <w:gridCol w:w="960"/>
        <w:gridCol w:w="960"/>
        <w:gridCol w:w="960"/>
        <w:gridCol w:w="960"/>
      </w:tblGrid>
      <w:tr w:rsidR="001952AD" w:rsidRPr="001952AD" w:rsidTr="001952AD">
        <w:trPr>
          <w:trHeight w:val="255"/>
        </w:trPr>
        <w:tc>
          <w:tcPr>
            <w:tcW w:w="230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2009/10</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2010/11</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2011/12</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2012/13</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2013/14</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2014/15</w:t>
            </w:r>
          </w:p>
        </w:tc>
      </w:tr>
      <w:tr w:rsidR="001952AD" w:rsidRPr="001952AD" w:rsidTr="001952AD">
        <w:trPr>
          <w:trHeight w:val="255"/>
        </w:trPr>
        <w:tc>
          <w:tcPr>
            <w:tcW w:w="2300" w:type="dxa"/>
            <w:vMerge w:val="restart"/>
            <w:tcBorders>
              <w:top w:val="nil"/>
              <w:left w:val="nil"/>
              <w:bottom w:val="nil"/>
              <w:right w:val="nil"/>
            </w:tcBorders>
            <w:shd w:val="clear" w:color="auto" w:fill="auto"/>
            <w:noWrap/>
            <w:vAlign w:val="center"/>
            <w:hideMark/>
          </w:tcPr>
          <w:p w:rsidR="001952AD" w:rsidRPr="001952AD" w:rsidRDefault="001952AD" w:rsidP="001952AD">
            <w:pPr>
              <w:rPr>
                <w:rFonts w:ascii="Arial" w:hAnsi="Arial" w:cs="Arial"/>
                <w:lang w:eastAsia="en-GB"/>
              </w:rPr>
            </w:pPr>
            <w:r w:rsidRPr="001952AD">
              <w:rPr>
                <w:rFonts w:ascii="Arial" w:hAnsi="Arial" w:cs="Arial"/>
                <w:lang w:eastAsia="en-GB"/>
              </w:rPr>
              <w:t>South Cambridgeshire</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12th</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13th</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13th</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13th</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15th</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17th</w:t>
            </w:r>
          </w:p>
        </w:tc>
      </w:tr>
      <w:tr w:rsidR="001952AD" w:rsidRPr="001952AD" w:rsidTr="001952AD">
        <w:trPr>
          <w:trHeight w:val="255"/>
        </w:trPr>
        <w:tc>
          <w:tcPr>
            <w:tcW w:w="2300" w:type="dxa"/>
            <w:vMerge/>
            <w:tcBorders>
              <w:top w:val="nil"/>
              <w:left w:val="nil"/>
              <w:bottom w:val="nil"/>
              <w:right w:val="nil"/>
            </w:tcBorders>
            <w:vAlign w:val="center"/>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lowest</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lowest</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lowest</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lowest</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lowest</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lowest</w:t>
            </w:r>
          </w:p>
        </w:tc>
      </w:tr>
      <w:tr w:rsidR="001952AD" w:rsidRPr="001952AD" w:rsidTr="001952AD">
        <w:trPr>
          <w:trHeight w:val="510"/>
        </w:trPr>
        <w:tc>
          <w:tcPr>
            <w:tcW w:w="2300" w:type="dxa"/>
            <w:tcBorders>
              <w:top w:val="nil"/>
              <w:left w:val="nil"/>
              <w:bottom w:val="nil"/>
              <w:right w:val="nil"/>
            </w:tcBorders>
            <w:shd w:val="clear" w:color="auto" w:fill="auto"/>
            <w:vAlign w:val="bottom"/>
            <w:hideMark/>
          </w:tcPr>
          <w:p w:rsidR="001952AD" w:rsidRPr="001952AD" w:rsidRDefault="001952AD" w:rsidP="001952AD">
            <w:pPr>
              <w:rPr>
                <w:rFonts w:ascii="Arial" w:hAnsi="Arial" w:cs="Arial"/>
                <w:lang w:eastAsia="en-GB"/>
              </w:rPr>
            </w:pPr>
            <w:r w:rsidRPr="001952AD">
              <w:rPr>
                <w:rFonts w:ascii="Arial" w:hAnsi="Arial" w:cs="Arial"/>
                <w:lang w:eastAsia="en-GB"/>
              </w:rPr>
              <w:t>Total number of shire districts</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w:t>
            </w:r>
          </w:p>
        </w:tc>
        <w:tc>
          <w:tcPr>
            <w:tcW w:w="960" w:type="dxa"/>
            <w:tcBorders>
              <w:top w:val="nil"/>
              <w:left w:val="nil"/>
              <w:bottom w:val="nil"/>
              <w:right w:val="nil"/>
            </w:tcBorders>
            <w:shd w:val="clear" w:color="auto" w:fill="auto"/>
            <w:noWrap/>
            <w:vAlign w:val="bottom"/>
            <w:hideMark/>
          </w:tcPr>
          <w:p w:rsidR="001952AD" w:rsidRPr="001952AD" w:rsidRDefault="001952AD" w:rsidP="001952AD">
            <w:pPr>
              <w:jc w:val="center"/>
              <w:rPr>
                <w:rFonts w:ascii="Arial" w:hAnsi="Arial" w:cs="Arial"/>
                <w:lang w:eastAsia="en-GB"/>
              </w:rPr>
            </w:pPr>
            <w:r w:rsidRPr="001952AD">
              <w:rPr>
                <w:rFonts w:ascii="Arial" w:hAnsi="Arial" w:cs="Arial"/>
                <w:lang w:eastAsia="en-GB"/>
              </w:rPr>
              <w:t>201</w:t>
            </w:r>
          </w:p>
        </w:tc>
      </w:tr>
      <w:tr w:rsidR="001952AD" w:rsidRPr="001952AD" w:rsidTr="001952AD">
        <w:trPr>
          <w:trHeight w:val="255"/>
        </w:trPr>
        <w:tc>
          <w:tcPr>
            <w:tcW w:w="230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rsidR="001952AD" w:rsidRPr="001952AD" w:rsidRDefault="001952AD" w:rsidP="001952AD">
            <w:pPr>
              <w:rPr>
                <w:rFonts w:ascii="Arial" w:hAnsi="Arial" w:cs="Arial"/>
                <w:lang w:eastAsia="en-GB"/>
              </w:rPr>
            </w:pPr>
          </w:p>
        </w:tc>
      </w:tr>
    </w:tbl>
    <w:p w:rsidR="00B508BE" w:rsidRDefault="00B508BE" w:rsidP="00564415">
      <w:pPr>
        <w:pStyle w:val="BodyText3"/>
        <w:jc w:val="left"/>
        <w:rPr>
          <w:rFonts w:ascii="Arial" w:hAnsi="Arial" w:cs="Arial"/>
          <w:bCs/>
          <w:color w:val="auto"/>
          <w:sz w:val="22"/>
        </w:rPr>
      </w:pPr>
    </w:p>
    <w:p w:rsidR="00564415" w:rsidRDefault="00564415" w:rsidP="00564415">
      <w:pPr>
        <w:pStyle w:val="font6"/>
        <w:spacing w:before="0" w:beforeAutospacing="0" w:after="0" w:afterAutospacing="0"/>
        <w:rPr>
          <w:rFonts w:eastAsia="Times New Roman"/>
          <w:color w:val="auto"/>
          <w:szCs w:val="20"/>
        </w:rPr>
      </w:pPr>
      <w:r w:rsidRPr="006023BF">
        <w:rPr>
          <w:rFonts w:eastAsia="Times New Roman"/>
          <w:color w:val="auto"/>
          <w:szCs w:val="20"/>
        </w:rPr>
        <w:t>The Council has to provide the same services and meet the same demands as other district councils but with substan</w:t>
      </w:r>
      <w:r>
        <w:rPr>
          <w:rFonts w:eastAsia="Times New Roman"/>
          <w:color w:val="auto"/>
          <w:szCs w:val="20"/>
        </w:rPr>
        <w:t>tially less council tax income and is not compensated for this lower council tax income through the system of Government grants.</w:t>
      </w:r>
    </w:p>
    <w:p w:rsidR="00564415" w:rsidRDefault="00564415" w:rsidP="00564415">
      <w:pPr>
        <w:pStyle w:val="Heading1"/>
        <w:rPr>
          <w:rFonts w:ascii="Arial" w:hAnsi="Arial" w:cs="Arial"/>
          <w:b/>
          <w:color w:val="000080"/>
          <w:sz w:val="28"/>
        </w:rPr>
      </w:pPr>
    </w:p>
    <w:p w:rsidR="00BD65EB" w:rsidRPr="00BD65EB" w:rsidRDefault="00BD65EB" w:rsidP="00BD65EB"/>
    <w:p w:rsidR="00564415" w:rsidRDefault="00564415" w:rsidP="00564415">
      <w:pPr>
        <w:pStyle w:val="Heading1"/>
        <w:rPr>
          <w:rFonts w:ascii="Arial" w:hAnsi="Arial" w:cs="Arial"/>
          <w:b/>
          <w:color w:val="000080"/>
          <w:sz w:val="28"/>
        </w:rPr>
      </w:pPr>
      <w:r>
        <w:rPr>
          <w:rFonts w:ascii="Arial" w:hAnsi="Arial" w:cs="Arial"/>
          <w:b/>
          <w:color w:val="000080"/>
          <w:sz w:val="28"/>
        </w:rPr>
        <w:t>Current and future developments</w:t>
      </w:r>
    </w:p>
    <w:p w:rsidR="00564415" w:rsidRDefault="00564415" w:rsidP="00564415">
      <w:pPr>
        <w:rPr>
          <w:rFonts w:ascii="Arial" w:hAnsi="Arial" w:cs="Arial"/>
          <w:sz w:val="24"/>
        </w:rPr>
      </w:pPr>
      <w:r>
        <w:rPr>
          <w:rFonts w:ascii="Arial" w:hAnsi="Arial" w:cs="Arial"/>
          <w:sz w:val="24"/>
        </w:rPr>
        <w:t xml:space="preserve"> </w:t>
      </w:r>
    </w:p>
    <w:p w:rsidR="00564415" w:rsidRDefault="00564415" w:rsidP="00564415">
      <w:pPr>
        <w:pStyle w:val="Heading3"/>
        <w:jc w:val="left"/>
        <w:rPr>
          <w:rFonts w:ascii="Arial" w:hAnsi="Arial" w:cs="Arial"/>
          <w:color w:val="000080"/>
          <w:sz w:val="22"/>
        </w:rPr>
      </w:pPr>
      <w:r>
        <w:rPr>
          <w:rFonts w:ascii="Arial" w:hAnsi="Arial" w:cs="Arial"/>
          <w:color w:val="000080"/>
        </w:rPr>
        <w:t xml:space="preserve">Council Tax </w:t>
      </w:r>
    </w:p>
    <w:p w:rsidR="00564415" w:rsidRDefault="00564415" w:rsidP="00564415">
      <w:pPr>
        <w:jc w:val="both"/>
        <w:rPr>
          <w:rFonts w:ascii="Arial" w:hAnsi="Arial" w:cs="Arial"/>
          <w:sz w:val="22"/>
        </w:rPr>
      </w:pPr>
    </w:p>
    <w:p w:rsidR="00564415" w:rsidRPr="00B508BE" w:rsidRDefault="00564415" w:rsidP="00564415">
      <w:pPr>
        <w:rPr>
          <w:rFonts w:ascii="Arial" w:hAnsi="Arial" w:cs="Arial"/>
          <w:sz w:val="22"/>
        </w:rPr>
      </w:pPr>
      <w:r>
        <w:rPr>
          <w:rFonts w:ascii="Arial" w:hAnsi="Arial" w:cs="Arial"/>
          <w:sz w:val="22"/>
        </w:rPr>
        <w:t>Cou</w:t>
      </w:r>
      <w:r w:rsidR="00770041">
        <w:rPr>
          <w:rFonts w:ascii="Arial" w:hAnsi="Arial" w:cs="Arial"/>
          <w:sz w:val="22"/>
        </w:rPr>
        <w:t>ncil Tax was introduced in 1993-</w:t>
      </w:r>
      <w:r>
        <w:rPr>
          <w:rFonts w:ascii="Arial" w:hAnsi="Arial" w:cs="Arial"/>
          <w:sz w:val="22"/>
        </w:rPr>
        <w:t xml:space="preserve">94 and since then the Council Tax set by this Council has been substantially below the average charged by other shire districts as the Council was using its reserves (savings) to keep down the amount of Council Tax residents would have to pay. Without the use of reserves, the Council Tax would be at its </w:t>
      </w:r>
      <w:r w:rsidR="00A61ECC">
        <w:rPr>
          <w:rFonts w:ascii="Arial" w:hAnsi="Arial" w:cs="Arial"/>
          <w:sz w:val="22"/>
        </w:rPr>
        <w:t xml:space="preserve">higher, </w:t>
      </w:r>
      <w:r w:rsidR="00DE2241">
        <w:rPr>
          <w:rFonts w:ascii="Arial" w:hAnsi="Arial" w:cs="Arial"/>
          <w:sz w:val="22"/>
        </w:rPr>
        <w:t>underlying level</w:t>
      </w:r>
      <w:r w:rsidR="00A61ECC">
        <w:rPr>
          <w:rFonts w:ascii="Arial" w:hAnsi="Arial" w:cs="Arial"/>
          <w:sz w:val="22"/>
        </w:rPr>
        <w:t xml:space="preserve">, </w:t>
      </w:r>
      <w:r>
        <w:rPr>
          <w:rFonts w:ascii="Arial" w:hAnsi="Arial" w:cs="Arial"/>
          <w:sz w:val="22"/>
        </w:rPr>
        <w:t>and this use of res</w:t>
      </w:r>
      <w:r w:rsidR="00B508BE">
        <w:rPr>
          <w:rFonts w:ascii="Arial" w:hAnsi="Arial" w:cs="Arial"/>
          <w:sz w:val="22"/>
        </w:rPr>
        <w:t xml:space="preserve">erves continues in future years. </w:t>
      </w:r>
      <w:r>
        <w:rPr>
          <w:rFonts w:ascii="Arial" w:hAnsi="Arial" w:cs="Arial"/>
          <w:sz w:val="22"/>
          <w:szCs w:val="22"/>
        </w:rPr>
        <w:t>The Council’s financial strategy is monitored and reviewed on a regular basis.</w:t>
      </w:r>
    </w:p>
    <w:p w:rsidR="00564415" w:rsidRDefault="004E585D" w:rsidP="00564415">
      <w:pPr>
        <w:jc w:val="center"/>
        <w:rPr>
          <w:rFonts w:ascii="Arial" w:hAnsi="Arial" w:cs="Arial"/>
          <w:color w:val="FF0000"/>
          <w:sz w:val="22"/>
        </w:rPr>
      </w:pPr>
      <w:r>
        <w:rPr>
          <w:noProof/>
          <w:lang w:eastAsia="en-GB"/>
        </w:rPr>
        <w:lastRenderedPageBreak/>
        <w:drawing>
          <wp:inline distT="0" distB="0" distL="0" distR="0" wp14:anchorId="08CCA974" wp14:editId="2B4BEC22">
            <wp:extent cx="5760085" cy="2342188"/>
            <wp:effectExtent l="0" t="0" r="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2241" w:rsidRDefault="00DE2241" w:rsidP="00BD65EB">
      <w:pPr>
        <w:pStyle w:val="xl65"/>
        <w:spacing w:before="0" w:beforeAutospacing="0" w:after="0" w:afterAutospacing="0"/>
        <w:rPr>
          <w:rFonts w:eastAsia="Times New Roman"/>
          <w:b/>
          <w:color w:val="003399"/>
          <w:sz w:val="24"/>
          <w:szCs w:val="24"/>
        </w:rPr>
      </w:pPr>
    </w:p>
    <w:p w:rsidR="00DE2241" w:rsidRDefault="00DE2241" w:rsidP="00BD65EB">
      <w:pPr>
        <w:pStyle w:val="xl65"/>
        <w:spacing w:before="0" w:beforeAutospacing="0" w:after="0" w:afterAutospacing="0"/>
        <w:rPr>
          <w:rFonts w:eastAsia="Times New Roman"/>
          <w:b/>
          <w:color w:val="003399"/>
          <w:sz w:val="24"/>
          <w:szCs w:val="24"/>
        </w:rPr>
      </w:pPr>
    </w:p>
    <w:p w:rsidR="00BD65EB" w:rsidRPr="00A879AE" w:rsidRDefault="00BD65EB" w:rsidP="00BD65EB">
      <w:pPr>
        <w:pStyle w:val="xl65"/>
        <w:spacing w:before="0" w:beforeAutospacing="0" w:after="0" w:afterAutospacing="0"/>
        <w:rPr>
          <w:rFonts w:eastAsia="Times New Roman"/>
          <w:b/>
          <w:color w:val="003399"/>
          <w:sz w:val="24"/>
          <w:szCs w:val="24"/>
        </w:rPr>
      </w:pPr>
      <w:r w:rsidRPr="00A879AE">
        <w:rPr>
          <w:rFonts w:eastAsia="Times New Roman"/>
          <w:b/>
          <w:color w:val="003399"/>
          <w:sz w:val="24"/>
          <w:szCs w:val="24"/>
        </w:rPr>
        <w:t>Localised Council Tax Support Scheme</w:t>
      </w:r>
    </w:p>
    <w:p w:rsidR="00BD65EB" w:rsidRDefault="00BD65EB" w:rsidP="00BD65EB">
      <w:pPr>
        <w:pStyle w:val="xl65"/>
        <w:spacing w:before="0" w:beforeAutospacing="0" w:after="0" w:afterAutospacing="0"/>
        <w:rPr>
          <w:rFonts w:eastAsia="Times New Roman"/>
          <w:szCs w:val="20"/>
        </w:rPr>
      </w:pPr>
    </w:p>
    <w:p w:rsidR="00BD65EB" w:rsidRPr="00A879AE" w:rsidRDefault="00BD65EB" w:rsidP="00BD65EB">
      <w:pPr>
        <w:rPr>
          <w:rFonts w:ascii="Arial" w:hAnsi="Arial" w:cs="Arial"/>
          <w:sz w:val="22"/>
          <w:szCs w:val="22"/>
        </w:rPr>
      </w:pPr>
      <w:r w:rsidRPr="00A879AE">
        <w:rPr>
          <w:rFonts w:ascii="Arial" w:hAnsi="Arial" w:cs="Arial"/>
          <w:sz w:val="22"/>
          <w:szCs w:val="22"/>
        </w:rPr>
        <w:t xml:space="preserve">From 1 April 2013, as a result of the Government welfare reforms, Council Tax Benefit </w:t>
      </w:r>
      <w:r w:rsidR="002C28FF">
        <w:rPr>
          <w:rFonts w:ascii="Arial" w:hAnsi="Arial" w:cs="Arial"/>
          <w:sz w:val="22"/>
          <w:szCs w:val="22"/>
        </w:rPr>
        <w:t>was</w:t>
      </w:r>
      <w:r w:rsidRPr="00A879AE">
        <w:rPr>
          <w:rFonts w:ascii="Arial" w:hAnsi="Arial" w:cs="Arial"/>
          <w:sz w:val="22"/>
          <w:szCs w:val="22"/>
        </w:rPr>
        <w:t xml:space="preserve"> replaced and each local authority has design</w:t>
      </w:r>
      <w:r w:rsidR="002C28FF">
        <w:rPr>
          <w:rFonts w:ascii="Arial" w:hAnsi="Arial" w:cs="Arial"/>
          <w:sz w:val="22"/>
          <w:szCs w:val="22"/>
        </w:rPr>
        <w:t>ed</w:t>
      </w:r>
      <w:r w:rsidRPr="00A879AE">
        <w:rPr>
          <w:rFonts w:ascii="Arial" w:hAnsi="Arial" w:cs="Arial"/>
          <w:sz w:val="22"/>
          <w:szCs w:val="22"/>
        </w:rPr>
        <w:t xml:space="preserve"> their </w:t>
      </w:r>
      <w:r w:rsidR="00342A58">
        <w:rPr>
          <w:rFonts w:ascii="Arial" w:hAnsi="Arial" w:cs="Arial"/>
          <w:sz w:val="22"/>
          <w:szCs w:val="22"/>
        </w:rPr>
        <w:t>individual</w:t>
      </w:r>
      <w:r w:rsidRPr="00A879AE">
        <w:rPr>
          <w:rFonts w:ascii="Arial" w:hAnsi="Arial" w:cs="Arial"/>
          <w:sz w:val="22"/>
          <w:szCs w:val="22"/>
        </w:rPr>
        <w:t xml:space="preserve"> Council Tax Support Scheme. </w:t>
      </w:r>
    </w:p>
    <w:p w:rsidR="00BD65EB" w:rsidRPr="00A879AE" w:rsidRDefault="00BD65EB" w:rsidP="00BD65EB">
      <w:pPr>
        <w:rPr>
          <w:rFonts w:ascii="Arial" w:hAnsi="Arial" w:cs="Arial"/>
          <w:sz w:val="22"/>
          <w:szCs w:val="22"/>
        </w:rPr>
      </w:pPr>
      <w:r w:rsidRPr="00A879AE">
        <w:rPr>
          <w:rFonts w:ascii="Arial" w:hAnsi="Arial" w:cs="Arial"/>
          <w:sz w:val="22"/>
          <w:szCs w:val="22"/>
        </w:rPr>
        <w:t xml:space="preserve">These reforms </w:t>
      </w:r>
      <w:r w:rsidR="002C28FF">
        <w:rPr>
          <w:rFonts w:ascii="Arial" w:hAnsi="Arial" w:cs="Arial"/>
          <w:sz w:val="22"/>
          <w:szCs w:val="22"/>
        </w:rPr>
        <w:t>saw</w:t>
      </w:r>
      <w:r w:rsidRPr="00A879AE">
        <w:rPr>
          <w:rFonts w:ascii="Arial" w:hAnsi="Arial" w:cs="Arial"/>
          <w:sz w:val="22"/>
          <w:szCs w:val="22"/>
        </w:rPr>
        <w:t xml:space="preserve"> the end of the council tax benefit scheme through which our less well-off residents </w:t>
      </w:r>
      <w:r w:rsidR="002C28FF">
        <w:rPr>
          <w:rFonts w:ascii="Arial" w:hAnsi="Arial" w:cs="Arial"/>
          <w:sz w:val="22"/>
          <w:szCs w:val="22"/>
        </w:rPr>
        <w:t xml:space="preserve">were </w:t>
      </w:r>
      <w:r w:rsidRPr="00A879AE">
        <w:rPr>
          <w:rFonts w:ascii="Arial" w:hAnsi="Arial" w:cs="Arial"/>
          <w:sz w:val="22"/>
          <w:szCs w:val="22"/>
        </w:rPr>
        <w:t xml:space="preserve">able to get help towards the cost of meeting their council tax bill.  Until </w:t>
      </w:r>
      <w:r w:rsidR="002C28FF">
        <w:rPr>
          <w:rFonts w:ascii="Arial" w:hAnsi="Arial" w:cs="Arial"/>
          <w:sz w:val="22"/>
          <w:szCs w:val="22"/>
        </w:rPr>
        <w:t>then</w:t>
      </w:r>
      <w:r w:rsidRPr="00A879AE">
        <w:rPr>
          <w:rFonts w:ascii="Arial" w:hAnsi="Arial" w:cs="Arial"/>
          <w:sz w:val="22"/>
          <w:szCs w:val="22"/>
        </w:rPr>
        <w:t>, council tax benefit ha</w:t>
      </w:r>
      <w:r w:rsidR="002C28FF">
        <w:rPr>
          <w:rFonts w:ascii="Arial" w:hAnsi="Arial" w:cs="Arial"/>
          <w:sz w:val="22"/>
          <w:szCs w:val="22"/>
        </w:rPr>
        <w:t xml:space="preserve">d </w:t>
      </w:r>
      <w:r w:rsidRPr="00A879AE">
        <w:rPr>
          <w:rFonts w:ascii="Arial" w:hAnsi="Arial" w:cs="Arial"/>
          <w:sz w:val="22"/>
          <w:szCs w:val="22"/>
        </w:rPr>
        <w:t xml:space="preserve">been funded entirely through national funds but the government concluded that this system </w:t>
      </w:r>
      <w:r w:rsidR="002C28FF">
        <w:rPr>
          <w:rFonts w:ascii="Arial" w:hAnsi="Arial" w:cs="Arial"/>
          <w:sz w:val="22"/>
          <w:szCs w:val="22"/>
        </w:rPr>
        <w:t>wa</w:t>
      </w:r>
      <w:r w:rsidRPr="00A879AE">
        <w:rPr>
          <w:rFonts w:ascii="Arial" w:hAnsi="Arial" w:cs="Arial"/>
          <w:sz w:val="22"/>
          <w:szCs w:val="22"/>
        </w:rPr>
        <w:t>s too expensive in the current financial climate and that, in some circumstances, it operate</w:t>
      </w:r>
      <w:r w:rsidR="002C28FF">
        <w:rPr>
          <w:rFonts w:ascii="Arial" w:hAnsi="Arial" w:cs="Arial"/>
          <w:sz w:val="22"/>
          <w:szCs w:val="22"/>
        </w:rPr>
        <w:t>d</w:t>
      </w:r>
      <w:r w:rsidRPr="00A879AE">
        <w:rPr>
          <w:rFonts w:ascii="Arial" w:hAnsi="Arial" w:cs="Arial"/>
          <w:sz w:val="22"/>
          <w:szCs w:val="22"/>
        </w:rPr>
        <w:t xml:space="preserve"> as a disincentive to claimants to seek employment.  </w:t>
      </w:r>
    </w:p>
    <w:p w:rsidR="00BD65EB" w:rsidRPr="00A879AE" w:rsidRDefault="00BD65EB" w:rsidP="00BD65EB">
      <w:pPr>
        <w:rPr>
          <w:rFonts w:ascii="Arial" w:hAnsi="Arial" w:cs="Arial"/>
          <w:sz w:val="22"/>
          <w:szCs w:val="22"/>
        </w:rPr>
      </w:pPr>
      <w:r w:rsidRPr="00A879AE">
        <w:rPr>
          <w:rFonts w:ascii="Arial" w:hAnsi="Arial" w:cs="Arial"/>
          <w:sz w:val="22"/>
          <w:szCs w:val="22"/>
        </w:rPr>
        <w:t xml:space="preserve">From April therefore, district councils </w:t>
      </w:r>
      <w:r w:rsidR="002C28FF">
        <w:rPr>
          <w:rFonts w:ascii="Arial" w:hAnsi="Arial" w:cs="Arial"/>
          <w:sz w:val="22"/>
          <w:szCs w:val="22"/>
        </w:rPr>
        <w:t>were</w:t>
      </w:r>
      <w:r w:rsidRPr="00A879AE">
        <w:rPr>
          <w:rFonts w:ascii="Arial" w:hAnsi="Arial" w:cs="Arial"/>
          <w:sz w:val="22"/>
          <w:szCs w:val="22"/>
        </w:rPr>
        <w:t xml:space="preserve"> required to design and implement their </w:t>
      </w:r>
      <w:r w:rsidR="00342A58">
        <w:rPr>
          <w:rFonts w:ascii="Arial" w:hAnsi="Arial" w:cs="Arial"/>
          <w:sz w:val="22"/>
          <w:szCs w:val="22"/>
        </w:rPr>
        <w:t xml:space="preserve">particular </w:t>
      </w:r>
      <w:r w:rsidRPr="00A879AE">
        <w:rPr>
          <w:rFonts w:ascii="Arial" w:hAnsi="Arial" w:cs="Arial"/>
          <w:sz w:val="22"/>
          <w:szCs w:val="22"/>
        </w:rPr>
        <w:t xml:space="preserve">localised council tax support schemes (LCTSS).  Under the legislation, the council is required to grant the equivalent discount in cash terms as benefit for pensioners, so they will not notice any change to their bills.  South Cambridgeshire District Council </w:t>
      </w:r>
      <w:r w:rsidR="002C28FF">
        <w:rPr>
          <w:rFonts w:ascii="Arial" w:hAnsi="Arial" w:cs="Arial"/>
          <w:sz w:val="22"/>
          <w:szCs w:val="22"/>
        </w:rPr>
        <w:t xml:space="preserve">also decided </w:t>
      </w:r>
      <w:r w:rsidRPr="00A879AE">
        <w:rPr>
          <w:rFonts w:ascii="Arial" w:hAnsi="Arial" w:cs="Arial"/>
          <w:sz w:val="22"/>
          <w:szCs w:val="22"/>
        </w:rPr>
        <w:t xml:space="preserve">to grant </w:t>
      </w:r>
      <w:proofErr w:type="gramStart"/>
      <w:r w:rsidRPr="00A879AE">
        <w:rPr>
          <w:rFonts w:ascii="Arial" w:hAnsi="Arial" w:cs="Arial"/>
          <w:sz w:val="22"/>
          <w:szCs w:val="22"/>
        </w:rPr>
        <w:t>equivalent discounts for certain vulnerable groups</w:t>
      </w:r>
      <w:proofErr w:type="gramEnd"/>
      <w:r w:rsidRPr="00A879AE">
        <w:rPr>
          <w:rFonts w:ascii="Arial" w:hAnsi="Arial" w:cs="Arial"/>
          <w:sz w:val="22"/>
          <w:szCs w:val="22"/>
        </w:rPr>
        <w:t xml:space="preserve"> (principally the disabled, their carers and some families with very young children).  All other claimants receive</w:t>
      </w:r>
      <w:r w:rsidR="002C28FF">
        <w:rPr>
          <w:rFonts w:ascii="Arial" w:hAnsi="Arial" w:cs="Arial"/>
          <w:sz w:val="22"/>
          <w:szCs w:val="22"/>
        </w:rPr>
        <w:t>d</w:t>
      </w:r>
      <w:r w:rsidRPr="00A879AE">
        <w:rPr>
          <w:rFonts w:ascii="Arial" w:hAnsi="Arial" w:cs="Arial"/>
          <w:sz w:val="22"/>
          <w:szCs w:val="22"/>
        </w:rPr>
        <w:t xml:space="preserve"> discounts that </w:t>
      </w:r>
      <w:r w:rsidR="00E72FBF">
        <w:rPr>
          <w:rFonts w:ascii="Arial" w:hAnsi="Arial" w:cs="Arial"/>
          <w:sz w:val="22"/>
          <w:szCs w:val="22"/>
        </w:rPr>
        <w:t>were</w:t>
      </w:r>
      <w:r w:rsidRPr="00A879AE">
        <w:rPr>
          <w:rFonts w:ascii="Arial" w:hAnsi="Arial" w:cs="Arial"/>
          <w:sz w:val="22"/>
          <w:szCs w:val="22"/>
        </w:rPr>
        <w:t xml:space="preserve"> broadly equivalent to at least 91.5% of the current benefits receivable. To partially offset the impact of the new LCTSS, the district council t</w:t>
      </w:r>
      <w:r w:rsidR="00E72FBF">
        <w:rPr>
          <w:rFonts w:ascii="Arial" w:hAnsi="Arial" w:cs="Arial"/>
          <w:sz w:val="22"/>
          <w:szCs w:val="22"/>
        </w:rPr>
        <w:t>ook</w:t>
      </w:r>
      <w:r w:rsidRPr="00A879AE">
        <w:rPr>
          <w:rFonts w:ascii="Arial" w:hAnsi="Arial" w:cs="Arial"/>
          <w:sz w:val="22"/>
          <w:szCs w:val="22"/>
        </w:rPr>
        <w:t xml:space="preserve"> the opportunity to cease discounts granted to owners of second and empty homes.  </w:t>
      </w:r>
    </w:p>
    <w:p w:rsidR="00BD65EB" w:rsidRPr="00A879AE" w:rsidRDefault="00BD65EB" w:rsidP="00BD65EB">
      <w:pPr>
        <w:rPr>
          <w:rFonts w:ascii="Arial" w:hAnsi="Arial" w:cs="Arial"/>
          <w:sz w:val="22"/>
          <w:szCs w:val="22"/>
        </w:rPr>
      </w:pPr>
    </w:p>
    <w:p w:rsidR="00BD65EB" w:rsidRPr="00A879AE" w:rsidRDefault="00BD65EB" w:rsidP="00BD65EB">
      <w:pPr>
        <w:rPr>
          <w:rFonts w:ascii="Arial" w:hAnsi="Arial" w:cs="Arial"/>
          <w:sz w:val="22"/>
          <w:szCs w:val="22"/>
        </w:rPr>
      </w:pPr>
      <w:r w:rsidRPr="00A879AE">
        <w:rPr>
          <w:rFonts w:ascii="Arial" w:hAnsi="Arial" w:cs="Arial"/>
          <w:sz w:val="22"/>
          <w:szCs w:val="22"/>
        </w:rPr>
        <w:t xml:space="preserve">Like the district and county councils, most parish councils, therefore, </w:t>
      </w:r>
      <w:r w:rsidR="00E72FBF">
        <w:rPr>
          <w:rFonts w:ascii="Arial" w:hAnsi="Arial" w:cs="Arial"/>
          <w:sz w:val="22"/>
          <w:szCs w:val="22"/>
        </w:rPr>
        <w:t>saw</w:t>
      </w:r>
      <w:r w:rsidRPr="00A879AE">
        <w:rPr>
          <w:rFonts w:ascii="Arial" w:hAnsi="Arial" w:cs="Arial"/>
          <w:sz w:val="22"/>
          <w:szCs w:val="22"/>
        </w:rPr>
        <w:t xml:space="preserve"> a reduction to their council tax base.  This is because the granting of discounts is treated as a reduction to the amount chargeable as opposed to council tax benefit which is treated as a reduction to the amount payable by the claimant. To fund these discounts the government </w:t>
      </w:r>
      <w:r w:rsidR="00E72FBF">
        <w:rPr>
          <w:rFonts w:ascii="Arial" w:hAnsi="Arial" w:cs="Arial"/>
          <w:sz w:val="22"/>
          <w:szCs w:val="22"/>
        </w:rPr>
        <w:t>gave</w:t>
      </w:r>
      <w:r w:rsidRPr="00A879AE">
        <w:rPr>
          <w:rFonts w:ascii="Arial" w:hAnsi="Arial" w:cs="Arial"/>
          <w:sz w:val="22"/>
          <w:szCs w:val="22"/>
        </w:rPr>
        <w:t xml:space="preserve"> the major precepting authorities a new fixed grant equivalent to 90% of the cos</w:t>
      </w:r>
      <w:r w:rsidR="00255EF0">
        <w:rPr>
          <w:rFonts w:ascii="Arial" w:hAnsi="Arial" w:cs="Arial"/>
          <w:sz w:val="22"/>
          <w:szCs w:val="22"/>
        </w:rPr>
        <w:t>t of the current benefit scheme. T</w:t>
      </w:r>
      <w:r w:rsidRPr="00A879AE">
        <w:rPr>
          <w:rFonts w:ascii="Arial" w:hAnsi="Arial" w:cs="Arial"/>
          <w:sz w:val="22"/>
          <w:szCs w:val="22"/>
        </w:rPr>
        <w:t xml:space="preserve">he district council </w:t>
      </w:r>
      <w:r w:rsidR="00E72FBF">
        <w:rPr>
          <w:rFonts w:ascii="Arial" w:hAnsi="Arial" w:cs="Arial"/>
          <w:sz w:val="22"/>
          <w:szCs w:val="22"/>
        </w:rPr>
        <w:t>paid</w:t>
      </w:r>
      <w:r w:rsidRPr="00A879AE">
        <w:rPr>
          <w:rFonts w:ascii="Arial" w:hAnsi="Arial" w:cs="Arial"/>
          <w:sz w:val="22"/>
          <w:szCs w:val="22"/>
        </w:rPr>
        <w:t xml:space="preserve"> a share of this grant to parish councils </w:t>
      </w:r>
      <w:r w:rsidR="00E72FBF">
        <w:rPr>
          <w:rFonts w:ascii="Arial" w:hAnsi="Arial" w:cs="Arial"/>
          <w:sz w:val="22"/>
          <w:szCs w:val="22"/>
        </w:rPr>
        <w:t>in 2013</w:t>
      </w:r>
      <w:r w:rsidRPr="00A879AE">
        <w:rPr>
          <w:rFonts w:ascii="Arial" w:hAnsi="Arial" w:cs="Arial"/>
          <w:sz w:val="22"/>
          <w:szCs w:val="22"/>
        </w:rPr>
        <w:t xml:space="preserve"> to compensate for the loss in tax base</w:t>
      </w:r>
      <w:r w:rsidRPr="00A879AE">
        <w:rPr>
          <w:rFonts w:ascii="Arial" w:hAnsi="Arial" w:cs="Arial"/>
          <w:sz w:val="22"/>
          <w:szCs w:val="24"/>
        </w:rPr>
        <w:t>.</w:t>
      </w:r>
    </w:p>
    <w:p w:rsidR="008F174E" w:rsidRPr="008F174E" w:rsidRDefault="008F174E" w:rsidP="00564415">
      <w:pPr>
        <w:pStyle w:val="font6"/>
        <w:spacing w:before="0" w:beforeAutospacing="0" w:after="0" w:afterAutospacing="0"/>
        <w:rPr>
          <w:color w:val="auto"/>
        </w:rPr>
      </w:pPr>
    </w:p>
    <w:p w:rsidR="00BD65EB" w:rsidRPr="00BD65EB" w:rsidRDefault="00BD65EB" w:rsidP="00564415">
      <w:pPr>
        <w:pStyle w:val="font6"/>
        <w:spacing w:before="0" w:beforeAutospacing="0" w:after="0" w:afterAutospacing="0"/>
        <w:rPr>
          <w:b/>
          <w:color w:val="003399"/>
          <w:sz w:val="24"/>
          <w:szCs w:val="24"/>
        </w:rPr>
      </w:pPr>
      <w:r w:rsidRPr="00BD65EB">
        <w:rPr>
          <w:b/>
          <w:color w:val="003399"/>
          <w:sz w:val="24"/>
          <w:szCs w:val="24"/>
        </w:rPr>
        <w:t>Retained Business Rates</w:t>
      </w:r>
    </w:p>
    <w:p w:rsidR="00BD65EB" w:rsidRDefault="00BD65EB" w:rsidP="00564415">
      <w:pPr>
        <w:pStyle w:val="font6"/>
        <w:spacing w:before="0" w:beforeAutospacing="0" w:after="0" w:afterAutospacing="0"/>
        <w:rPr>
          <w:color w:val="auto"/>
        </w:rPr>
      </w:pPr>
    </w:p>
    <w:p w:rsidR="00374335" w:rsidRDefault="00BD65EB" w:rsidP="00564415">
      <w:pPr>
        <w:pStyle w:val="font6"/>
        <w:spacing w:before="0" w:beforeAutospacing="0" w:after="0" w:afterAutospacing="0"/>
        <w:rPr>
          <w:color w:val="auto"/>
        </w:rPr>
      </w:pPr>
      <w:r>
        <w:rPr>
          <w:color w:val="auto"/>
        </w:rPr>
        <w:t>The Local Govern</w:t>
      </w:r>
      <w:r w:rsidR="00812018">
        <w:rPr>
          <w:color w:val="auto"/>
        </w:rPr>
        <w:t>ment Finance Act 2012 introduced</w:t>
      </w:r>
      <w:r>
        <w:rPr>
          <w:color w:val="auto"/>
        </w:rPr>
        <w:t xml:space="preserve"> a business rates retention scheme that enables local authorities to retain a proportion of the business rates generated in their area</w:t>
      </w:r>
      <w:r w:rsidR="00374335">
        <w:rPr>
          <w:color w:val="auto"/>
        </w:rPr>
        <w:t>. It also enables local authorities to implement tax increment financing, giving the ability to undertake borrowing against future business rates growth, supported by the forecast tax increment that accrues from additional development.</w:t>
      </w:r>
    </w:p>
    <w:p w:rsidR="008F174E" w:rsidRDefault="00812018" w:rsidP="00564415">
      <w:pPr>
        <w:pStyle w:val="font6"/>
        <w:spacing w:before="0" w:beforeAutospacing="0" w:after="0" w:afterAutospacing="0"/>
        <w:rPr>
          <w:color w:val="auto"/>
        </w:rPr>
      </w:pPr>
      <w:r>
        <w:rPr>
          <w:color w:val="auto"/>
        </w:rPr>
        <w:t>These n</w:t>
      </w:r>
      <w:r w:rsidR="00BD65EB">
        <w:rPr>
          <w:color w:val="auto"/>
        </w:rPr>
        <w:t>ew arrangements for the retention of business rates c</w:t>
      </w:r>
      <w:r w:rsidR="00E72FBF">
        <w:rPr>
          <w:color w:val="auto"/>
        </w:rPr>
        <w:t>a</w:t>
      </w:r>
      <w:r w:rsidR="00BD65EB">
        <w:rPr>
          <w:color w:val="auto"/>
        </w:rPr>
        <w:t xml:space="preserve">me into effect on 1 April 2013, </w:t>
      </w:r>
      <w:r w:rsidR="00374335">
        <w:rPr>
          <w:color w:val="auto"/>
        </w:rPr>
        <w:t xml:space="preserve">at which time </w:t>
      </w:r>
      <w:r w:rsidR="00BD65EB">
        <w:rPr>
          <w:color w:val="auto"/>
        </w:rPr>
        <w:t>the Council assume</w:t>
      </w:r>
      <w:r w:rsidR="00E72FBF">
        <w:rPr>
          <w:color w:val="auto"/>
        </w:rPr>
        <w:t>d</w:t>
      </w:r>
      <w:r w:rsidR="00BD65EB">
        <w:rPr>
          <w:color w:val="auto"/>
        </w:rPr>
        <w:t xml:space="preserve"> liability for refunding ratepayers who have successfully appealed against the rateable value of their properties on the rating list, which will include amounts that were paid over to central Government in respect of 2012-13 and prior years. A provision for these liabilities </w:t>
      </w:r>
      <w:r w:rsidR="00E72FBF">
        <w:rPr>
          <w:color w:val="auto"/>
        </w:rPr>
        <w:t>has</w:t>
      </w:r>
      <w:r w:rsidR="00BD65EB">
        <w:rPr>
          <w:color w:val="auto"/>
        </w:rPr>
        <w:t xml:space="preserve"> be</w:t>
      </w:r>
      <w:r w:rsidR="00E72FBF">
        <w:rPr>
          <w:color w:val="auto"/>
        </w:rPr>
        <w:t>en</w:t>
      </w:r>
      <w:r w:rsidR="00BD65EB">
        <w:rPr>
          <w:color w:val="auto"/>
        </w:rPr>
        <w:t xml:space="preserve"> rec</w:t>
      </w:r>
      <w:r w:rsidR="00E72FBF">
        <w:rPr>
          <w:color w:val="auto"/>
        </w:rPr>
        <w:t>ognised in the 2013-14 accounts.</w:t>
      </w:r>
    </w:p>
    <w:p w:rsidR="008F174E" w:rsidRPr="008F174E" w:rsidRDefault="008F174E" w:rsidP="008F174E">
      <w:pPr>
        <w:pStyle w:val="font6"/>
        <w:spacing w:before="0" w:beforeAutospacing="0" w:after="0" w:afterAutospacing="0"/>
        <w:rPr>
          <w:b/>
          <w:color w:val="auto"/>
          <w:sz w:val="24"/>
          <w:szCs w:val="24"/>
        </w:rPr>
      </w:pPr>
      <w:r w:rsidRPr="008F174E">
        <w:rPr>
          <w:b/>
          <w:color w:val="000099"/>
          <w:sz w:val="24"/>
          <w:szCs w:val="24"/>
        </w:rPr>
        <w:lastRenderedPageBreak/>
        <w:t>Reporting Cycle</w:t>
      </w:r>
    </w:p>
    <w:p w:rsidR="008F174E" w:rsidRDefault="008F174E" w:rsidP="008F174E">
      <w:pPr>
        <w:pStyle w:val="font6"/>
        <w:spacing w:before="0" w:beforeAutospacing="0" w:after="0" w:afterAutospacing="0"/>
        <w:rPr>
          <w:color w:val="auto"/>
        </w:rPr>
      </w:pPr>
    </w:p>
    <w:p w:rsidR="000E1B41" w:rsidRDefault="008F174E" w:rsidP="008F174E">
      <w:pPr>
        <w:pStyle w:val="font6"/>
        <w:spacing w:before="0" w:beforeAutospacing="0" w:after="0" w:afterAutospacing="0"/>
        <w:rPr>
          <w:color w:val="auto"/>
        </w:rPr>
      </w:pPr>
      <w:r>
        <w:rPr>
          <w:color w:val="auto"/>
        </w:rPr>
        <w:t>The General Fund and Housing Revenue Account estimates are presented to Cabinet and Council for approval every year, in February,</w:t>
      </w:r>
      <w:r w:rsidR="00C803DB">
        <w:rPr>
          <w:color w:val="auto"/>
        </w:rPr>
        <w:t xml:space="preserve"> and are published on the Council website at:</w:t>
      </w:r>
      <w:r>
        <w:rPr>
          <w:color w:val="auto"/>
        </w:rPr>
        <w:t xml:space="preserve"> </w:t>
      </w:r>
    </w:p>
    <w:p w:rsidR="00C803DB" w:rsidRDefault="008F174E" w:rsidP="008F174E">
      <w:pPr>
        <w:pStyle w:val="font6"/>
        <w:spacing w:before="0" w:beforeAutospacing="0" w:after="0" w:afterAutospacing="0"/>
        <w:rPr>
          <w:color w:val="auto"/>
        </w:rPr>
      </w:pPr>
      <w:r w:rsidRPr="00C803DB">
        <w:rPr>
          <w:color w:val="auto"/>
        </w:rPr>
        <w:t xml:space="preserve"> </w:t>
      </w:r>
      <w:hyperlink r:id="rId16" w:history="1">
        <w:r w:rsidR="00F47F65" w:rsidRPr="00E353C4">
          <w:rPr>
            <w:rStyle w:val="Hyperlink"/>
          </w:rPr>
          <w:t>http://scambs.moderngov.co.uk/ieListDocuments.aspx?CId=293&amp;MId=5780&amp;Ver=4</w:t>
        </w:r>
      </w:hyperlink>
    </w:p>
    <w:p w:rsidR="00F47F65" w:rsidRPr="00C803DB" w:rsidRDefault="00F47F65" w:rsidP="008F174E">
      <w:pPr>
        <w:pStyle w:val="font6"/>
        <w:spacing w:before="0" w:beforeAutospacing="0" w:after="0" w:afterAutospacing="0"/>
        <w:rPr>
          <w:color w:val="auto"/>
        </w:rPr>
      </w:pPr>
    </w:p>
    <w:p w:rsidR="000E1B41" w:rsidRDefault="008F174E" w:rsidP="008F174E">
      <w:pPr>
        <w:pStyle w:val="font6"/>
        <w:spacing w:before="0" w:beforeAutospacing="0" w:after="0" w:afterAutospacing="0"/>
        <w:rPr>
          <w:color w:val="auto"/>
        </w:rPr>
      </w:pPr>
      <w:r>
        <w:rPr>
          <w:color w:val="auto"/>
        </w:rPr>
        <w:t xml:space="preserve">During the year expenditure and income is monitored and significant variances reported to Cabinet. The Council’s Forward Plan providing information on key reports is published on the Council’s website </w:t>
      </w:r>
      <w:hyperlink r:id="rId17" w:history="1">
        <w:r w:rsidR="000E1B41" w:rsidRPr="006E7985">
          <w:rPr>
            <w:rStyle w:val="Hyperlink"/>
          </w:rPr>
          <w:t>http://scambs.moderngov.co.uk/mgListPlans.aspx?RPId=293&amp;bcr=1</w:t>
        </w:r>
      </w:hyperlink>
    </w:p>
    <w:p w:rsidR="00C803DB" w:rsidRDefault="00B97414" w:rsidP="008F174E">
      <w:pPr>
        <w:pStyle w:val="font6"/>
        <w:spacing w:before="0" w:beforeAutospacing="0" w:after="0" w:afterAutospacing="0"/>
        <w:rPr>
          <w:color w:val="auto"/>
        </w:rPr>
      </w:pPr>
      <w:r w:rsidRPr="00C803DB">
        <w:rPr>
          <w:color w:val="auto"/>
        </w:rPr>
        <w:t xml:space="preserve"> </w:t>
      </w:r>
    </w:p>
    <w:p w:rsidR="00E72FBF" w:rsidRDefault="00B97414" w:rsidP="00E72FBF">
      <w:pPr>
        <w:pStyle w:val="xl65"/>
        <w:spacing w:before="0" w:beforeAutospacing="0" w:after="0" w:afterAutospacing="0"/>
      </w:pPr>
      <w:r w:rsidRPr="00845E55">
        <w:t>The Council regularly monitors performance against key performance indicators, this information is available from</w:t>
      </w:r>
      <w:r w:rsidR="00C36B97">
        <w:t>:</w:t>
      </w:r>
      <w:r w:rsidRPr="00845E55">
        <w:t xml:space="preserve"> </w:t>
      </w:r>
      <w:r w:rsidR="00845E55" w:rsidRPr="00845E55">
        <w:t xml:space="preserve"> </w:t>
      </w:r>
      <w:hyperlink r:id="rId18" w:history="1">
        <w:r w:rsidR="00E72FBF" w:rsidRPr="00E353C4">
          <w:rPr>
            <w:rStyle w:val="Hyperlink"/>
          </w:rPr>
          <w:t>https://www.scambs.gov.uk/council-aims-and-objectives</w:t>
        </w:r>
      </w:hyperlink>
    </w:p>
    <w:p w:rsidR="00BD65EB" w:rsidRPr="00845E55" w:rsidRDefault="00BD65EB" w:rsidP="00564415">
      <w:pPr>
        <w:pStyle w:val="font6"/>
        <w:spacing w:before="0" w:beforeAutospacing="0" w:after="0" w:afterAutospacing="0"/>
        <w:rPr>
          <w:color w:val="auto"/>
        </w:rPr>
      </w:pPr>
    </w:p>
    <w:p w:rsidR="00564415" w:rsidRDefault="00564415" w:rsidP="00564415">
      <w:pPr>
        <w:pStyle w:val="Heading3"/>
        <w:jc w:val="left"/>
        <w:rPr>
          <w:rFonts w:ascii="Arial" w:hAnsi="Arial" w:cs="Arial"/>
          <w:color w:val="000080"/>
        </w:rPr>
      </w:pPr>
      <w:r>
        <w:rPr>
          <w:rFonts w:ascii="Arial" w:hAnsi="Arial" w:cs="Arial"/>
          <w:color w:val="000080"/>
        </w:rPr>
        <w:t>Corporate plan</w:t>
      </w:r>
    </w:p>
    <w:p w:rsidR="00564415" w:rsidRDefault="00564415" w:rsidP="00564415">
      <w:pPr>
        <w:jc w:val="both"/>
        <w:rPr>
          <w:rFonts w:ascii="Arial" w:hAnsi="Arial" w:cs="Arial"/>
          <w:sz w:val="22"/>
        </w:rPr>
      </w:pPr>
    </w:p>
    <w:p w:rsidR="0069552D" w:rsidRDefault="00564415" w:rsidP="00564415">
      <w:pPr>
        <w:pStyle w:val="xl65"/>
        <w:spacing w:before="0" w:beforeAutospacing="0" w:after="0" w:afterAutospacing="0"/>
        <w:rPr>
          <w:rFonts w:eastAsia="Times New Roman"/>
          <w:szCs w:val="20"/>
        </w:rPr>
      </w:pPr>
      <w:r>
        <w:rPr>
          <w:rFonts w:eastAsia="Times New Roman"/>
          <w:szCs w:val="20"/>
        </w:rPr>
        <w:t>The Council has published its Aims</w:t>
      </w:r>
      <w:r w:rsidR="0069552D">
        <w:rPr>
          <w:rFonts w:eastAsia="Times New Roman"/>
          <w:szCs w:val="20"/>
        </w:rPr>
        <w:t xml:space="preserve"> and </w:t>
      </w:r>
      <w:r w:rsidR="00DD2427">
        <w:rPr>
          <w:rFonts w:eastAsia="Times New Roman"/>
          <w:szCs w:val="20"/>
        </w:rPr>
        <w:t>Objectives</w:t>
      </w:r>
      <w:r w:rsidR="0069552D">
        <w:rPr>
          <w:rFonts w:eastAsia="Times New Roman"/>
          <w:szCs w:val="20"/>
        </w:rPr>
        <w:t xml:space="preserve"> for 201</w:t>
      </w:r>
      <w:r w:rsidR="00E72FBF">
        <w:rPr>
          <w:rFonts w:eastAsia="Times New Roman"/>
          <w:szCs w:val="20"/>
        </w:rPr>
        <w:t>4</w:t>
      </w:r>
      <w:r w:rsidR="00770041">
        <w:rPr>
          <w:rFonts w:eastAsia="Times New Roman"/>
          <w:szCs w:val="20"/>
        </w:rPr>
        <w:t>-</w:t>
      </w:r>
      <w:r w:rsidR="0069552D">
        <w:rPr>
          <w:rFonts w:eastAsia="Times New Roman"/>
          <w:szCs w:val="20"/>
        </w:rPr>
        <w:t>1</w:t>
      </w:r>
      <w:r w:rsidR="00E72FBF">
        <w:rPr>
          <w:rFonts w:eastAsia="Times New Roman"/>
          <w:szCs w:val="20"/>
        </w:rPr>
        <w:t>5</w:t>
      </w:r>
      <w:r w:rsidR="0069552D">
        <w:rPr>
          <w:rFonts w:eastAsia="Times New Roman"/>
          <w:szCs w:val="20"/>
        </w:rPr>
        <w:t xml:space="preserve"> and </w:t>
      </w:r>
      <w:r w:rsidR="00CD422C">
        <w:rPr>
          <w:rFonts w:eastAsia="Times New Roman"/>
          <w:szCs w:val="20"/>
        </w:rPr>
        <w:t>the</w:t>
      </w:r>
      <w:r w:rsidR="0069552D">
        <w:rPr>
          <w:rFonts w:eastAsia="Times New Roman"/>
          <w:szCs w:val="20"/>
        </w:rPr>
        <w:t xml:space="preserve"> Corporate Plan for 201</w:t>
      </w:r>
      <w:r w:rsidR="00E72FBF">
        <w:rPr>
          <w:rFonts w:eastAsia="Times New Roman"/>
          <w:szCs w:val="20"/>
        </w:rPr>
        <w:t>4</w:t>
      </w:r>
      <w:r w:rsidR="0069552D">
        <w:rPr>
          <w:rFonts w:eastAsia="Times New Roman"/>
          <w:szCs w:val="20"/>
        </w:rPr>
        <w:t>-1</w:t>
      </w:r>
      <w:r w:rsidR="00E72FBF">
        <w:rPr>
          <w:rFonts w:eastAsia="Times New Roman"/>
          <w:szCs w:val="20"/>
        </w:rPr>
        <w:t>9</w:t>
      </w:r>
      <w:r>
        <w:rPr>
          <w:rFonts w:eastAsia="Times New Roman"/>
          <w:szCs w:val="20"/>
        </w:rPr>
        <w:t xml:space="preserve"> on its website at:</w:t>
      </w:r>
    </w:p>
    <w:p w:rsidR="0069552D" w:rsidRDefault="00011CA1" w:rsidP="00564415">
      <w:pPr>
        <w:pStyle w:val="xl65"/>
        <w:spacing w:before="0" w:beforeAutospacing="0" w:after="0" w:afterAutospacing="0"/>
      </w:pPr>
      <w:hyperlink r:id="rId19" w:history="1">
        <w:r w:rsidR="00E72FBF" w:rsidRPr="00E353C4">
          <w:rPr>
            <w:rStyle w:val="Hyperlink"/>
          </w:rPr>
          <w:t>https://www.scambs.gov.uk/council-aims-and-objectives</w:t>
        </w:r>
      </w:hyperlink>
    </w:p>
    <w:p w:rsidR="000E1B41" w:rsidRDefault="000E1B41" w:rsidP="00153C5F">
      <w:pPr>
        <w:pStyle w:val="xl65"/>
        <w:spacing w:before="0" w:beforeAutospacing="0" w:after="0" w:afterAutospacing="0"/>
      </w:pPr>
    </w:p>
    <w:p w:rsidR="00564415" w:rsidRDefault="00564415" w:rsidP="00564415">
      <w:pPr>
        <w:pStyle w:val="Heading6"/>
        <w:jc w:val="left"/>
        <w:rPr>
          <w:rFonts w:ascii="Arial" w:hAnsi="Arial" w:cs="Arial"/>
          <w:bCs/>
        </w:rPr>
      </w:pPr>
      <w:r>
        <w:rPr>
          <w:rFonts w:ascii="Arial" w:hAnsi="Arial" w:cs="Arial"/>
          <w:bCs/>
        </w:rPr>
        <w:t>Population growth</w:t>
      </w:r>
    </w:p>
    <w:p w:rsidR="00564415" w:rsidRDefault="00564415" w:rsidP="00564415">
      <w:pPr>
        <w:rPr>
          <w:rFonts w:ascii="Arial" w:hAnsi="Arial" w:cs="Arial"/>
          <w:b/>
          <w:bCs/>
          <w:color w:val="000080"/>
          <w:sz w:val="22"/>
        </w:rPr>
      </w:pPr>
    </w:p>
    <w:p w:rsidR="00564415" w:rsidRDefault="00564415" w:rsidP="00564415">
      <w:pPr>
        <w:rPr>
          <w:rFonts w:ascii="Arial" w:hAnsi="Arial" w:cs="Arial"/>
          <w:sz w:val="22"/>
        </w:rPr>
      </w:pPr>
      <w:r>
        <w:rPr>
          <w:rFonts w:ascii="Arial" w:hAnsi="Arial" w:cs="Arial"/>
          <w:sz w:val="22"/>
        </w:rPr>
        <w:t xml:space="preserve">The District population of </w:t>
      </w:r>
      <w:r w:rsidR="006A34D5">
        <w:rPr>
          <w:rFonts w:ascii="Arial" w:hAnsi="Arial" w:cs="Arial"/>
          <w:sz w:val="22"/>
        </w:rPr>
        <w:t>148,755</w:t>
      </w:r>
      <w:r>
        <w:rPr>
          <w:rFonts w:ascii="Arial" w:hAnsi="Arial" w:cs="Arial"/>
          <w:sz w:val="22"/>
        </w:rPr>
        <w:t xml:space="preserve"> people </w:t>
      </w:r>
      <w:r w:rsidR="006A34D5">
        <w:rPr>
          <w:rFonts w:ascii="Arial" w:hAnsi="Arial" w:cs="Arial"/>
          <w:sz w:val="22"/>
        </w:rPr>
        <w:t>(source: 2011 Census)</w:t>
      </w:r>
      <w:r w:rsidR="00551D29">
        <w:rPr>
          <w:rFonts w:ascii="Arial" w:hAnsi="Arial" w:cs="Arial"/>
          <w:sz w:val="22"/>
        </w:rPr>
        <w:t xml:space="preserve"> </w:t>
      </w:r>
      <w:r>
        <w:rPr>
          <w:rFonts w:ascii="Arial" w:hAnsi="Arial" w:cs="Arial"/>
          <w:sz w:val="22"/>
        </w:rPr>
        <w:t xml:space="preserve">is projected to increase to </w:t>
      </w:r>
      <w:r w:rsidRPr="003B0AF8">
        <w:rPr>
          <w:rFonts w:ascii="Arial" w:hAnsi="Arial" w:cs="Arial"/>
          <w:sz w:val="22"/>
        </w:rPr>
        <w:t>1</w:t>
      </w:r>
      <w:r w:rsidR="006A34D5">
        <w:rPr>
          <w:rFonts w:ascii="Arial" w:hAnsi="Arial" w:cs="Arial"/>
          <w:sz w:val="22"/>
        </w:rPr>
        <w:t>97</w:t>
      </w:r>
      <w:r w:rsidRPr="003B0AF8">
        <w:rPr>
          <w:rFonts w:ascii="Arial" w:hAnsi="Arial" w:cs="Arial"/>
          <w:sz w:val="22"/>
        </w:rPr>
        <w:t>,000 by 20</w:t>
      </w:r>
      <w:r w:rsidR="006A34D5">
        <w:rPr>
          <w:rFonts w:ascii="Arial" w:hAnsi="Arial" w:cs="Arial"/>
          <w:sz w:val="22"/>
        </w:rPr>
        <w:t>3</w:t>
      </w:r>
      <w:r w:rsidRPr="003B0AF8">
        <w:rPr>
          <w:rFonts w:ascii="Arial" w:hAnsi="Arial" w:cs="Arial"/>
          <w:sz w:val="22"/>
        </w:rPr>
        <w:t>1</w:t>
      </w:r>
      <w:r w:rsidR="006A34D5">
        <w:rPr>
          <w:rFonts w:ascii="Arial" w:hAnsi="Arial" w:cs="Arial"/>
          <w:sz w:val="22"/>
        </w:rPr>
        <w:t xml:space="preserve"> (source: Cambridgeshire Insight)</w:t>
      </w:r>
      <w:r>
        <w:rPr>
          <w:rFonts w:ascii="Arial" w:hAnsi="Arial" w:cs="Arial"/>
          <w:sz w:val="22"/>
        </w:rPr>
        <w:t xml:space="preserve">, the estimate for </w:t>
      </w:r>
      <w:r w:rsidRPr="009628D8">
        <w:rPr>
          <w:rFonts w:ascii="Arial" w:hAnsi="Arial" w:cs="Arial"/>
          <w:sz w:val="22"/>
        </w:rPr>
        <w:t>June 201</w:t>
      </w:r>
      <w:r w:rsidR="00F47F65">
        <w:rPr>
          <w:rFonts w:ascii="Arial" w:hAnsi="Arial" w:cs="Arial"/>
          <w:sz w:val="22"/>
        </w:rPr>
        <w:t>4</w:t>
      </w:r>
      <w:r w:rsidRPr="009628D8">
        <w:rPr>
          <w:rFonts w:ascii="Arial" w:hAnsi="Arial" w:cs="Arial"/>
          <w:sz w:val="22"/>
        </w:rPr>
        <w:t xml:space="preserve"> being </w:t>
      </w:r>
      <w:r w:rsidR="00B50AA0">
        <w:rPr>
          <w:rFonts w:ascii="Arial" w:hAnsi="Arial" w:cs="Arial"/>
          <w:sz w:val="22"/>
        </w:rPr>
        <w:t>151,100</w:t>
      </w:r>
      <w:r w:rsidR="006A34D5">
        <w:rPr>
          <w:rFonts w:ascii="Arial" w:hAnsi="Arial" w:cs="Arial"/>
          <w:sz w:val="22"/>
        </w:rPr>
        <w:t xml:space="preserve"> (source: Department of Communities and Local Government)</w:t>
      </w:r>
      <w:r>
        <w:rPr>
          <w:rFonts w:ascii="Arial" w:hAnsi="Arial" w:cs="Arial"/>
          <w:sz w:val="22"/>
        </w:rPr>
        <w:t xml:space="preserve">. This is a reflection of the development of large numbers of additional houses in the district, particularly through the creation of a new settlement at Northstowe and the development of the Cambridge fringe areas. The officer capacity to develop these policies has to be paid for now. These initial costs are not reflected in Government grants or in the Council’s tax base for raising income locally. However, when new dwellings come into use, the Council now receives the New Homes Bonus government grant. </w:t>
      </w:r>
    </w:p>
    <w:p w:rsidR="00B20B96" w:rsidRDefault="00FB4617" w:rsidP="00564415">
      <w:pPr>
        <w:rPr>
          <w:rFonts w:ascii="Arial" w:hAnsi="Arial" w:cs="Arial"/>
          <w:sz w:val="22"/>
        </w:rPr>
      </w:pPr>
      <w:r>
        <w:rPr>
          <w:rFonts w:ascii="Arial" w:hAnsi="Arial" w:cs="Arial"/>
          <w:noProof/>
          <w:szCs w:val="22"/>
          <w:lang w:eastAsia="en-GB"/>
        </w:rPr>
        <w:drawing>
          <wp:anchor distT="0" distB="0" distL="114300" distR="114300" simplePos="0" relativeHeight="251730944" behindDoc="0" locked="0" layoutInCell="1" allowOverlap="1" wp14:anchorId="6A6884AF" wp14:editId="46B72070">
            <wp:simplePos x="0" y="0"/>
            <wp:positionH relativeFrom="column">
              <wp:posOffset>-62230</wp:posOffset>
            </wp:positionH>
            <wp:positionV relativeFrom="paragraph">
              <wp:posOffset>11430</wp:posOffset>
            </wp:positionV>
            <wp:extent cx="5695950" cy="4380230"/>
            <wp:effectExtent l="0" t="0" r="0" b="1270"/>
            <wp:wrapNone/>
            <wp:docPr id="10" name="Picture 10" descr="Cambridgeshire Ba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ridgeshire Base cop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0" cy="4380230"/>
                    </a:xfrm>
                    <a:prstGeom prst="rect">
                      <a:avLst/>
                    </a:prstGeom>
                    <a:noFill/>
                  </pic:spPr>
                </pic:pic>
              </a:graphicData>
            </a:graphic>
            <wp14:sizeRelH relativeFrom="page">
              <wp14:pctWidth>0</wp14:pctWidth>
            </wp14:sizeRelH>
            <wp14:sizeRelV relativeFrom="page">
              <wp14:pctHeight>0</wp14:pctHeight>
            </wp14:sizeRelV>
          </wp:anchor>
        </w:drawing>
      </w:r>
    </w:p>
    <w:p w:rsidR="00B20B96" w:rsidRDefault="00B20B96"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rPr>
          <w:rFonts w:ascii="Arial" w:hAnsi="Arial" w:cs="Arial"/>
          <w:sz w:val="22"/>
        </w:rPr>
      </w:pPr>
    </w:p>
    <w:p w:rsidR="00517FBB" w:rsidRDefault="00517FBB" w:rsidP="00564415">
      <w:pPr>
        <w:pStyle w:val="Heading3"/>
        <w:jc w:val="left"/>
        <w:rPr>
          <w:rFonts w:ascii="Arial" w:hAnsi="Arial" w:cs="Arial"/>
          <w:b w:val="0"/>
          <w:sz w:val="22"/>
        </w:rPr>
      </w:pPr>
    </w:p>
    <w:p w:rsidR="00FB4617" w:rsidRDefault="00FB4617" w:rsidP="00FB4617"/>
    <w:p w:rsidR="00FB4617" w:rsidRDefault="00FB4617" w:rsidP="00FB4617"/>
    <w:p w:rsidR="00FB4617" w:rsidRPr="00FB4617" w:rsidRDefault="00FB4617" w:rsidP="00FB4617"/>
    <w:p w:rsidR="00564415" w:rsidRDefault="00564415" w:rsidP="00564415">
      <w:pPr>
        <w:pStyle w:val="Heading3"/>
        <w:jc w:val="left"/>
        <w:rPr>
          <w:rFonts w:ascii="Arial" w:hAnsi="Arial" w:cs="Arial"/>
          <w:color w:val="000080"/>
        </w:rPr>
      </w:pPr>
      <w:r>
        <w:rPr>
          <w:rFonts w:ascii="Arial" w:hAnsi="Arial" w:cs="Arial"/>
          <w:color w:val="000080"/>
        </w:rPr>
        <w:lastRenderedPageBreak/>
        <w:t>The Current Economic Climate and other significant risks</w:t>
      </w:r>
    </w:p>
    <w:p w:rsidR="00564415" w:rsidRDefault="00564415" w:rsidP="00564415">
      <w:pPr>
        <w:rPr>
          <w:rFonts w:ascii="Arial" w:hAnsi="Arial" w:cs="Arial"/>
          <w:sz w:val="22"/>
        </w:rPr>
      </w:pPr>
    </w:p>
    <w:p w:rsidR="00564415" w:rsidRDefault="00564415" w:rsidP="00564415">
      <w:pPr>
        <w:rPr>
          <w:rFonts w:ascii="Arial" w:hAnsi="Arial" w:cs="Arial"/>
          <w:sz w:val="22"/>
        </w:rPr>
      </w:pPr>
      <w:r>
        <w:rPr>
          <w:rFonts w:ascii="Arial" w:hAnsi="Arial" w:cs="Arial"/>
          <w:sz w:val="22"/>
        </w:rPr>
        <w:t xml:space="preserve">The Government’s </w:t>
      </w:r>
      <w:r w:rsidR="005459CC">
        <w:rPr>
          <w:rFonts w:ascii="Arial" w:hAnsi="Arial" w:cs="Arial"/>
          <w:sz w:val="22"/>
        </w:rPr>
        <w:t>actions to reduce the fiscal deficit mainly by reducing public spending have</w:t>
      </w:r>
      <w:r>
        <w:rPr>
          <w:rFonts w:ascii="Arial" w:hAnsi="Arial" w:cs="Arial"/>
          <w:sz w:val="22"/>
        </w:rPr>
        <w:t xml:space="preserve"> resulted in substantial cuts for local government. The Council’s medium term financial strategy is in its strategic risk register with an assessed risk of </w:t>
      </w:r>
      <w:r w:rsidR="00A56EE0">
        <w:rPr>
          <w:rFonts w:ascii="Arial" w:hAnsi="Arial" w:cs="Arial"/>
          <w:sz w:val="22"/>
        </w:rPr>
        <w:t>extreme</w:t>
      </w:r>
      <w:r>
        <w:rPr>
          <w:rFonts w:ascii="Arial" w:hAnsi="Arial" w:cs="Arial"/>
          <w:sz w:val="22"/>
        </w:rPr>
        <w:t xml:space="preserve"> impact / </w:t>
      </w:r>
      <w:r w:rsidR="00CD422C">
        <w:rPr>
          <w:rFonts w:ascii="Arial" w:hAnsi="Arial" w:cs="Arial"/>
          <w:sz w:val="22"/>
        </w:rPr>
        <w:t>likely</w:t>
      </w:r>
      <w:r>
        <w:rPr>
          <w:rFonts w:ascii="Arial" w:hAnsi="Arial" w:cs="Arial"/>
          <w:sz w:val="22"/>
        </w:rPr>
        <w:t>. The financial situation is dependent amongst other things on the continuation of New Homes Bonus and the outcome of the redistribution of re</w:t>
      </w:r>
      <w:r w:rsidR="00770041">
        <w:rPr>
          <w:rFonts w:ascii="Arial" w:hAnsi="Arial" w:cs="Arial"/>
          <w:sz w:val="22"/>
        </w:rPr>
        <w:t>tained business rates from 2013-</w:t>
      </w:r>
      <w:r>
        <w:rPr>
          <w:rFonts w:ascii="Arial" w:hAnsi="Arial" w:cs="Arial"/>
          <w:sz w:val="22"/>
        </w:rPr>
        <w:t>14 onwards.</w:t>
      </w:r>
    </w:p>
    <w:p w:rsidR="00564415" w:rsidRDefault="00564415" w:rsidP="00564415">
      <w:pPr>
        <w:rPr>
          <w:rFonts w:ascii="Arial" w:hAnsi="Arial" w:cs="Arial"/>
          <w:sz w:val="22"/>
        </w:rPr>
      </w:pPr>
    </w:p>
    <w:p w:rsidR="00564415" w:rsidRDefault="00564415" w:rsidP="00564415">
      <w:pPr>
        <w:rPr>
          <w:rFonts w:ascii="Arial" w:hAnsi="Arial" w:cs="Arial"/>
          <w:sz w:val="22"/>
        </w:rPr>
      </w:pPr>
      <w:r>
        <w:rPr>
          <w:rFonts w:ascii="Arial" w:hAnsi="Arial" w:cs="Arial"/>
          <w:sz w:val="22"/>
        </w:rPr>
        <w:t>Other items which are on the Council’s strategic risk register above the tolerance line and thereby requiring active management are:</w:t>
      </w:r>
    </w:p>
    <w:p w:rsidR="00564415" w:rsidRPr="00FF7B1A" w:rsidRDefault="00564415" w:rsidP="009C1C4C">
      <w:pPr>
        <w:ind w:left="426"/>
        <w:rPr>
          <w:rFonts w:ascii="Arial" w:hAnsi="Arial" w:cs="Arial"/>
          <w:sz w:val="22"/>
        </w:rPr>
      </w:pPr>
      <w:proofErr w:type="gramStart"/>
      <w:r w:rsidRPr="00FF7B1A">
        <w:rPr>
          <w:rFonts w:ascii="Arial" w:hAnsi="Arial" w:cs="Arial"/>
          <w:sz w:val="22"/>
        </w:rPr>
        <w:t>welfare</w:t>
      </w:r>
      <w:proofErr w:type="gramEnd"/>
      <w:r w:rsidRPr="00FF7B1A">
        <w:rPr>
          <w:rFonts w:ascii="Arial" w:hAnsi="Arial" w:cs="Arial"/>
          <w:sz w:val="22"/>
        </w:rPr>
        <w:t xml:space="preserve"> reform including localised council tax benefits with reduced Government funding;</w:t>
      </w:r>
    </w:p>
    <w:p w:rsidR="00564415" w:rsidRPr="00FF7B1A" w:rsidRDefault="00564415" w:rsidP="009C1C4C">
      <w:pPr>
        <w:ind w:left="426"/>
        <w:rPr>
          <w:rFonts w:ascii="Arial" w:hAnsi="Arial" w:cs="Arial"/>
          <w:sz w:val="22"/>
        </w:rPr>
      </w:pPr>
      <w:proofErr w:type="gramStart"/>
      <w:r w:rsidRPr="00FF7B1A">
        <w:rPr>
          <w:rFonts w:ascii="Arial" w:hAnsi="Arial" w:cs="Arial"/>
          <w:sz w:val="22"/>
        </w:rPr>
        <w:t>lack</w:t>
      </w:r>
      <w:proofErr w:type="gramEnd"/>
      <w:r w:rsidRPr="00FF7B1A">
        <w:rPr>
          <w:rFonts w:ascii="Arial" w:hAnsi="Arial" w:cs="Arial"/>
          <w:sz w:val="22"/>
        </w:rPr>
        <w:t xml:space="preserve"> of development progress and not meeting hous</w:t>
      </w:r>
      <w:r w:rsidR="00CD422C" w:rsidRPr="00FF7B1A">
        <w:rPr>
          <w:rFonts w:ascii="Arial" w:hAnsi="Arial" w:cs="Arial"/>
          <w:sz w:val="22"/>
        </w:rPr>
        <w:t>ing needs;</w:t>
      </w:r>
      <w:r w:rsidR="00FF7B1A">
        <w:rPr>
          <w:rFonts w:ascii="Arial" w:hAnsi="Arial" w:cs="Arial"/>
          <w:sz w:val="22"/>
        </w:rPr>
        <w:t xml:space="preserve"> and</w:t>
      </w:r>
    </w:p>
    <w:p w:rsidR="00564415" w:rsidRDefault="00564415" w:rsidP="009C1C4C">
      <w:pPr>
        <w:ind w:left="426"/>
        <w:rPr>
          <w:rFonts w:ascii="Arial" w:hAnsi="Arial" w:cs="Arial"/>
          <w:sz w:val="22"/>
        </w:rPr>
      </w:pPr>
      <w:proofErr w:type="gramStart"/>
      <w:r w:rsidRPr="00FF7B1A">
        <w:rPr>
          <w:rFonts w:ascii="Arial" w:hAnsi="Arial" w:cs="Arial"/>
          <w:sz w:val="22"/>
        </w:rPr>
        <w:t>illegal</w:t>
      </w:r>
      <w:proofErr w:type="gramEnd"/>
      <w:r w:rsidRPr="00FF7B1A">
        <w:rPr>
          <w:rFonts w:ascii="Arial" w:hAnsi="Arial" w:cs="Arial"/>
          <w:sz w:val="22"/>
        </w:rPr>
        <w:t xml:space="preserve"> travell</w:t>
      </w:r>
      <w:r w:rsidR="00CD422C" w:rsidRPr="00FF7B1A">
        <w:rPr>
          <w:rFonts w:ascii="Arial" w:hAnsi="Arial" w:cs="Arial"/>
          <w:sz w:val="22"/>
        </w:rPr>
        <w:t>er encampments/developments.</w:t>
      </w:r>
    </w:p>
    <w:p w:rsidR="00B20B96" w:rsidRDefault="00B20B96" w:rsidP="00564415">
      <w:pPr>
        <w:rPr>
          <w:rFonts w:ascii="Arial" w:hAnsi="Arial" w:cs="Arial"/>
          <w:sz w:val="22"/>
        </w:rPr>
      </w:pPr>
    </w:p>
    <w:p w:rsidR="00FF7B1A" w:rsidRDefault="00FF7B1A" w:rsidP="00564415">
      <w:pPr>
        <w:rPr>
          <w:rFonts w:ascii="Arial" w:hAnsi="Arial" w:cs="Arial"/>
          <w:sz w:val="22"/>
        </w:rPr>
      </w:pPr>
    </w:p>
    <w:p w:rsidR="00564415" w:rsidRDefault="00564415" w:rsidP="00564415">
      <w:pPr>
        <w:pStyle w:val="Heading6"/>
        <w:jc w:val="left"/>
        <w:rPr>
          <w:rFonts w:ascii="Arial" w:hAnsi="Arial" w:cs="Arial"/>
          <w:bCs/>
        </w:rPr>
      </w:pPr>
      <w:r>
        <w:rPr>
          <w:rFonts w:ascii="Arial" w:hAnsi="Arial" w:cs="Arial"/>
          <w:bCs/>
        </w:rPr>
        <w:t>Affordable housing</w:t>
      </w:r>
    </w:p>
    <w:p w:rsidR="00564415" w:rsidRPr="001C424B" w:rsidRDefault="00564415" w:rsidP="00564415">
      <w:pPr>
        <w:pStyle w:val="BodyText"/>
        <w:jc w:val="left"/>
        <w:rPr>
          <w:rFonts w:ascii="Arial" w:hAnsi="Arial" w:cs="Arial"/>
          <w:sz w:val="22"/>
          <w:highlight w:val="yellow"/>
        </w:rPr>
      </w:pPr>
    </w:p>
    <w:p w:rsidR="00AE7BFA" w:rsidRPr="00570839" w:rsidRDefault="00570839" w:rsidP="00AE7BFA">
      <w:pPr>
        <w:pStyle w:val="BodyText"/>
        <w:jc w:val="left"/>
        <w:rPr>
          <w:rFonts w:ascii="Arial" w:hAnsi="Arial" w:cs="Arial"/>
          <w:sz w:val="22"/>
        </w:rPr>
      </w:pPr>
      <w:r w:rsidRPr="00570839">
        <w:rPr>
          <w:rFonts w:ascii="Arial" w:hAnsi="Arial" w:cs="Arial"/>
          <w:sz w:val="22"/>
        </w:rPr>
        <w:t>Following on from the Housing Revenue Account self-financing debt settlement at the end of March 2012, the Council has now embarked upon a new build development programme</w:t>
      </w:r>
      <w:r w:rsidR="00AE7BFA">
        <w:rPr>
          <w:rFonts w:ascii="Arial" w:hAnsi="Arial" w:cs="Arial"/>
          <w:sz w:val="22"/>
        </w:rPr>
        <w:t>, with f</w:t>
      </w:r>
      <w:r w:rsidR="00AE7BFA" w:rsidRPr="00570839">
        <w:rPr>
          <w:rFonts w:ascii="Arial" w:hAnsi="Arial" w:cs="Arial"/>
          <w:sz w:val="22"/>
        </w:rPr>
        <w:t xml:space="preserve">our new properties </w:t>
      </w:r>
      <w:r w:rsidR="00AE7BFA">
        <w:rPr>
          <w:rFonts w:ascii="Arial" w:hAnsi="Arial" w:cs="Arial"/>
          <w:sz w:val="22"/>
        </w:rPr>
        <w:t>being completed and tenanted in 2013. T</w:t>
      </w:r>
      <w:r w:rsidR="00AE7BFA" w:rsidRPr="00570839">
        <w:rPr>
          <w:rFonts w:ascii="Arial" w:hAnsi="Arial" w:cs="Arial"/>
          <w:sz w:val="22"/>
        </w:rPr>
        <w:t xml:space="preserve">he programme will continue in 2014-15 with </w:t>
      </w:r>
      <w:r w:rsidR="00AE7BFA">
        <w:rPr>
          <w:rFonts w:ascii="Arial" w:hAnsi="Arial" w:cs="Arial"/>
          <w:sz w:val="22"/>
        </w:rPr>
        <w:t xml:space="preserve">the addition of </w:t>
      </w:r>
      <w:r w:rsidR="00AE7BFA" w:rsidRPr="00570839">
        <w:rPr>
          <w:rFonts w:ascii="Arial" w:hAnsi="Arial" w:cs="Arial"/>
          <w:sz w:val="22"/>
        </w:rPr>
        <w:t>an estimated 30 properties.</w:t>
      </w:r>
    </w:p>
    <w:p w:rsidR="00564415" w:rsidRPr="00570839" w:rsidRDefault="00570839" w:rsidP="00564415">
      <w:pPr>
        <w:pStyle w:val="BodyText"/>
        <w:jc w:val="left"/>
        <w:rPr>
          <w:rFonts w:ascii="Arial" w:hAnsi="Arial" w:cs="Arial"/>
          <w:sz w:val="22"/>
        </w:rPr>
      </w:pPr>
      <w:r w:rsidRPr="00570839">
        <w:rPr>
          <w:rFonts w:ascii="Arial" w:hAnsi="Arial" w:cs="Arial"/>
          <w:sz w:val="22"/>
        </w:rPr>
        <w:t>The Council has identified that an estimated investment surplus of £30 million will be available by 2022, this will assist in the provision of around 200 new homes being built for people in housing need.</w:t>
      </w:r>
    </w:p>
    <w:p w:rsidR="00342A58" w:rsidRDefault="00342A58" w:rsidP="00564415">
      <w:pPr>
        <w:pStyle w:val="Heading1"/>
        <w:rPr>
          <w:rFonts w:ascii="Arial" w:hAnsi="Arial" w:cs="Arial"/>
          <w:bCs/>
          <w:sz w:val="22"/>
          <w:szCs w:val="22"/>
          <w:highlight w:val="yellow"/>
        </w:rPr>
      </w:pPr>
    </w:p>
    <w:p w:rsidR="00FC486F" w:rsidRDefault="00FC486F" w:rsidP="00FC486F">
      <w:pPr>
        <w:jc w:val="center"/>
        <w:rPr>
          <w:highlight w:val="yellow"/>
        </w:rPr>
      </w:pPr>
      <w:r>
        <w:rPr>
          <w:noProof/>
          <w:lang w:eastAsia="en-GB"/>
        </w:rPr>
        <w:drawing>
          <wp:inline distT="0" distB="0" distL="0" distR="0">
            <wp:extent cx="5400675" cy="3848100"/>
            <wp:effectExtent l="0" t="0" r="9525" b="0"/>
            <wp:docPr id="9" name="Picture 9" descr="Y:\Final Accounts\2013-14\Statement of Accounts\Photos\DSC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inal Accounts\2013-14\Statement of Accounts\Photos\DSC_73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3848100"/>
                    </a:xfrm>
                    <a:prstGeom prst="rect">
                      <a:avLst/>
                    </a:prstGeom>
                    <a:noFill/>
                    <a:ln>
                      <a:noFill/>
                    </a:ln>
                  </pic:spPr>
                </pic:pic>
              </a:graphicData>
            </a:graphic>
          </wp:inline>
        </w:drawing>
      </w:r>
    </w:p>
    <w:p w:rsidR="00FC486F" w:rsidRDefault="00FC486F" w:rsidP="00FC486F">
      <w:pPr>
        <w:rPr>
          <w:highlight w:val="yellow"/>
        </w:rPr>
      </w:pPr>
    </w:p>
    <w:p w:rsidR="00FC486F" w:rsidRPr="00FC486F" w:rsidRDefault="00FC486F" w:rsidP="00FC486F">
      <w:pPr>
        <w:rPr>
          <w:rFonts w:ascii="Arial" w:hAnsi="Arial" w:cs="Arial"/>
          <w:i/>
          <w:color w:val="0033CC"/>
        </w:rPr>
      </w:pPr>
      <w:r>
        <w:rPr>
          <w:rFonts w:ascii="Arial" w:hAnsi="Arial" w:cs="Arial"/>
          <w:i/>
          <w:color w:val="0033CC"/>
        </w:rPr>
        <w:t xml:space="preserve">                                                                                                              </w:t>
      </w:r>
      <w:r w:rsidRPr="00FC486F">
        <w:rPr>
          <w:rFonts w:ascii="Arial" w:hAnsi="Arial" w:cs="Arial"/>
          <w:i/>
          <w:color w:val="0033CC"/>
        </w:rPr>
        <w:t>New homes for Linton</w:t>
      </w:r>
      <w:r>
        <w:rPr>
          <w:rFonts w:ascii="Arial" w:hAnsi="Arial" w:cs="Arial"/>
          <w:i/>
          <w:color w:val="0033CC"/>
        </w:rPr>
        <w:t xml:space="preserve"> (2013)</w:t>
      </w:r>
    </w:p>
    <w:p w:rsidR="00FC486F" w:rsidRDefault="00FC486F" w:rsidP="00FC486F">
      <w:pPr>
        <w:rPr>
          <w:highlight w:val="yellow"/>
        </w:rPr>
      </w:pPr>
    </w:p>
    <w:p w:rsidR="00FB4617" w:rsidRDefault="00FB4617" w:rsidP="00FC486F">
      <w:pPr>
        <w:rPr>
          <w:highlight w:val="yellow"/>
        </w:rPr>
      </w:pPr>
    </w:p>
    <w:p w:rsidR="00FB4617" w:rsidRDefault="00FB4617" w:rsidP="00FC486F">
      <w:pPr>
        <w:rPr>
          <w:highlight w:val="yellow"/>
        </w:rPr>
      </w:pPr>
    </w:p>
    <w:p w:rsidR="00FB4617" w:rsidRPr="00FC486F" w:rsidRDefault="00FB4617" w:rsidP="00FC486F">
      <w:pPr>
        <w:rPr>
          <w:highlight w:val="yellow"/>
        </w:rPr>
      </w:pPr>
    </w:p>
    <w:p w:rsidR="00570839" w:rsidRPr="009C1C4C" w:rsidRDefault="00570839" w:rsidP="00570839">
      <w:pPr>
        <w:rPr>
          <w:rFonts w:ascii="Arial" w:hAnsi="Arial" w:cs="Arial"/>
          <w:color w:val="003399"/>
          <w:sz w:val="24"/>
          <w:szCs w:val="24"/>
        </w:rPr>
      </w:pPr>
      <w:r w:rsidRPr="009C1C4C">
        <w:rPr>
          <w:rFonts w:ascii="Arial" w:hAnsi="Arial" w:cs="Arial"/>
          <w:color w:val="003399"/>
          <w:sz w:val="24"/>
          <w:szCs w:val="24"/>
        </w:rPr>
        <w:lastRenderedPageBreak/>
        <w:t>South Cambs Ltd</w:t>
      </w:r>
    </w:p>
    <w:p w:rsidR="00564415" w:rsidRPr="006244C5" w:rsidRDefault="006F0C59" w:rsidP="00564415">
      <w:pPr>
        <w:pStyle w:val="Heading1"/>
        <w:rPr>
          <w:rFonts w:ascii="Arial" w:hAnsi="Arial" w:cs="Arial"/>
          <w:bCs/>
          <w:sz w:val="22"/>
          <w:szCs w:val="22"/>
        </w:rPr>
      </w:pPr>
      <w:r w:rsidRPr="00570839">
        <w:rPr>
          <w:rFonts w:ascii="Arial" w:hAnsi="Arial" w:cs="Arial"/>
          <w:bCs/>
          <w:sz w:val="22"/>
          <w:szCs w:val="22"/>
        </w:rPr>
        <w:t>A company</w:t>
      </w:r>
      <w:r w:rsidR="002608E7" w:rsidRPr="00570839">
        <w:rPr>
          <w:rFonts w:ascii="Arial" w:hAnsi="Arial" w:cs="Arial"/>
          <w:bCs/>
          <w:sz w:val="22"/>
          <w:szCs w:val="22"/>
        </w:rPr>
        <w:t>, wholly owned by the Council,</w:t>
      </w:r>
      <w:r w:rsidRPr="00570839">
        <w:rPr>
          <w:rFonts w:ascii="Arial" w:hAnsi="Arial" w:cs="Arial"/>
          <w:bCs/>
          <w:sz w:val="22"/>
          <w:szCs w:val="22"/>
        </w:rPr>
        <w:t xml:space="preserve"> has been </w:t>
      </w:r>
      <w:r w:rsidR="002608E7" w:rsidRPr="00570839">
        <w:rPr>
          <w:rFonts w:ascii="Arial" w:hAnsi="Arial" w:cs="Arial"/>
          <w:bCs/>
          <w:sz w:val="22"/>
          <w:szCs w:val="22"/>
        </w:rPr>
        <w:t>set up to</w:t>
      </w:r>
      <w:r w:rsidRPr="00570839">
        <w:rPr>
          <w:rFonts w:ascii="Arial" w:hAnsi="Arial" w:cs="Arial"/>
          <w:bCs/>
          <w:sz w:val="22"/>
          <w:szCs w:val="22"/>
        </w:rPr>
        <w:t xml:space="preserve"> facilitate </w:t>
      </w:r>
      <w:r w:rsidR="002608E7" w:rsidRPr="00570839">
        <w:rPr>
          <w:rFonts w:ascii="Arial" w:hAnsi="Arial" w:cs="Arial"/>
          <w:bCs/>
          <w:sz w:val="22"/>
          <w:szCs w:val="22"/>
        </w:rPr>
        <w:t>a new approach to delivering equity share, market sal</w:t>
      </w:r>
      <w:r w:rsidR="001109E6" w:rsidRPr="00570839">
        <w:rPr>
          <w:rFonts w:ascii="Arial" w:hAnsi="Arial" w:cs="Arial"/>
          <w:bCs/>
          <w:sz w:val="22"/>
          <w:szCs w:val="22"/>
        </w:rPr>
        <w:t xml:space="preserve">e and private rented properties, there </w:t>
      </w:r>
      <w:r w:rsidR="00570839" w:rsidRPr="00570839">
        <w:rPr>
          <w:rFonts w:ascii="Arial" w:hAnsi="Arial" w:cs="Arial"/>
          <w:bCs/>
          <w:sz w:val="22"/>
          <w:szCs w:val="22"/>
        </w:rPr>
        <w:t>were</w:t>
      </w:r>
      <w:r w:rsidR="001109E6" w:rsidRPr="00570839">
        <w:rPr>
          <w:rFonts w:ascii="Arial" w:hAnsi="Arial" w:cs="Arial"/>
          <w:bCs/>
          <w:sz w:val="22"/>
          <w:szCs w:val="22"/>
        </w:rPr>
        <w:t xml:space="preserve"> no transactions during 201</w:t>
      </w:r>
      <w:r w:rsidR="00570839" w:rsidRPr="00570839">
        <w:rPr>
          <w:rFonts w:ascii="Arial" w:hAnsi="Arial" w:cs="Arial"/>
          <w:bCs/>
          <w:sz w:val="22"/>
          <w:szCs w:val="22"/>
        </w:rPr>
        <w:t>3</w:t>
      </w:r>
      <w:r w:rsidR="001109E6" w:rsidRPr="00570839">
        <w:rPr>
          <w:rFonts w:ascii="Arial" w:hAnsi="Arial" w:cs="Arial"/>
          <w:bCs/>
          <w:sz w:val="22"/>
          <w:szCs w:val="22"/>
        </w:rPr>
        <w:t>-1</w:t>
      </w:r>
      <w:r w:rsidR="00570839" w:rsidRPr="00570839">
        <w:rPr>
          <w:rFonts w:ascii="Arial" w:hAnsi="Arial" w:cs="Arial"/>
          <w:bCs/>
          <w:sz w:val="22"/>
          <w:szCs w:val="22"/>
        </w:rPr>
        <w:t>4</w:t>
      </w:r>
      <w:r w:rsidR="001109E6" w:rsidRPr="00570839">
        <w:rPr>
          <w:rFonts w:ascii="Arial" w:hAnsi="Arial" w:cs="Arial"/>
          <w:bCs/>
          <w:sz w:val="22"/>
          <w:szCs w:val="22"/>
        </w:rPr>
        <w:t>.</w:t>
      </w:r>
      <w:r w:rsidR="00570839">
        <w:rPr>
          <w:rFonts w:ascii="Arial" w:hAnsi="Arial" w:cs="Arial"/>
          <w:bCs/>
          <w:sz w:val="22"/>
          <w:szCs w:val="22"/>
        </w:rPr>
        <w:t xml:space="preserve"> In April 2014 the Council acquired the lease for 28 properties in Waterbeach</w:t>
      </w:r>
      <w:r w:rsidR="00AE7BFA">
        <w:rPr>
          <w:rFonts w:ascii="Arial" w:hAnsi="Arial" w:cs="Arial"/>
          <w:bCs/>
          <w:sz w:val="22"/>
          <w:szCs w:val="22"/>
        </w:rPr>
        <w:t xml:space="preserve"> enabling the company to support the Council’s aim for the provision of additional affordable housing in the district;</w:t>
      </w:r>
      <w:r w:rsidR="00A56EE0">
        <w:rPr>
          <w:rFonts w:ascii="Arial" w:hAnsi="Arial" w:cs="Arial"/>
          <w:bCs/>
          <w:sz w:val="22"/>
          <w:szCs w:val="22"/>
        </w:rPr>
        <w:t xml:space="preserve"> further additions are planned later in the year.</w:t>
      </w:r>
    </w:p>
    <w:p w:rsidR="000E1B41" w:rsidRDefault="000E1B41" w:rsidP="00564415">
      <w:pPr>
        <w:pStyle w:val="BodyText"/>
        <w:jc w:val="left"/>
        <w:rPr>
          <w:rFonts w:ascii="Arial" w:hAnsi="Arial" w:cs="Arial"/>
          <w:sz w:val="22"/>
        </w:rPr>
      </w:pPr>
    </w:p>
    <w:p w:rsidR="00150D0A" w:rsidRPr="00150D0A" w:rsidRDefault="005644C5" w:rsidP="00564415">
      <w:pPr>
        <w:pStyle w:val="BodyText"/>
        <w:jc w:val="left"/>
        <w:rPr>
          <w:rFonts w:ascii="Arial" w:hAnsi="Arial" w:cs="Arial"/>
          <w:b/>
          <w:color w:val="000099"/>
          <w:szCs w:val="24"/>
        </w:rPr>
      </w:pPr>
      <w:r>
        <w:rPr>
          <w:rFonts w:ascii="Arial" w:hAnsi="Arial" w:cs="Arial"/>
          <w:b/>
          <w:color w:val="000099"/>
          <w:szCs w:val="24"/>
        </w:rPr>
        <w:t>City Deal</w:t>
      </w:r>
    </w:p>
    <w:p w:rsidR="00150D0A" w:rsidRDefault="00150D0A" w:rsidP="00564415">
      <w:pPr>
        <w:pStyle w:val="BodyText"/>
        <w:jc w:val="left"/>
        <w:rPr>
          <w:rFonts w:ascii="Arial" w:hAnsi="Arial" w:cs="Arial"/>
          <w:sz w:val="22"/>
        </w:rPr>
      </w:pPr>
    </w:p>
    <w:p w:rsidR="005644C5" w:rsidRPr="004962F8" w:rsidRDefault="004962F8" w:rsidP="00564415">
      <w:pPr>
        <w:pStyle w:val="BodyText"/>
        <w:jc w:val="left"/>
        <w:rPr>
          <w:rFonts w:ascii="Arial" w:hAnsi="Arial" w:cs="Arial"/>
          <w:sz w:val="22"/>
          <w:szCs w:val="22"/>
        </w:rPr>
      </w:pPr>
      <w:r w:rsidRPr="004962F8">
        <w:rPr>
          <w:rFonts w:ascii="Arial" w:hAnsi="Arial" w:cs="Arial"/>
          <w:sz w:val="22"/>
        </w:rPr>
        <w:t xml:space="preserve">Government has invited a number of cities to propose deals that change or widen their powers to enable or unblock growth. </w:t>
      </w:r>
      <w:r w:rsidR="00FC2BC0" w:rsidRPr="004962F8">
        <w:rPr>
          <w:rFonts w:ascii="Arial" w:hAnsi="Arial" w:cs="Arial"/>
          <w:sz w:val="22"/>
        </w:rPr>
        <w:t>The City Deal initiative is</w:t>
      </w:r>
      <w:r w:rsidR="00FC2BC0" w:rsidRPr="004962F8">
        <w:rPr>
          <w:rFonts w:ascii="Arial" w:hAnsi="Arial" w:cs="Arial"/>
          <w:sz w:val="22"/>
          <w:szCs w:val="22"/>
        </w:rPr>
        <w:t xml:space="preserve"> a proposal focussing on connecting homes and jobs via improved infrastructure</w:t>
      </w:r>
      <w:r w:rsidR="00FC2BC0">
        <w:rPr>
          <w:rFonts w:ascii="Arial" w:hAnsi="Arial" w:cs="Arial"/>
          <w:sz w:val="22"/>
          <w:szCs w:val="22"/>
        </w:rPr>
        <w:t xml:space="preserve">, funding will be in three stages payable on results achieved with the first stage expected 2015/16 – 2019/20. </w:t>
      </w:r>
      <w:r w:rsidRPr="004962F8">
        <w:rPr>
          <w:rFonts w:ascii="Arial" w:hAnsi="Arial" w:cs="Arial"/>
          <w:sz w:val="22"/>
        </w:rPr>
        <w:t xml:space="preserve">South Cambridgeshire is part of a partnership with Cambridge City Council, Cambridgeshire County Council, GCGP Local Enterprise Partnership and Cambridge University </w:t>
      </w:r>
      <w:r w:rsidR="00FC2BC0">
        <w:rPr>
          <w:rFonts w:ascii="Arial" w:hAnsi="Arial" w:cs="Arial"/>
          <w:sz w:val="22"/>
        </w:rPr>
        <w:t xml:space="preserve">the intention is </w:t>
      </w:r>
      <w:r w:rsidRPr="004962F8">
        <w:rPr>
          <w:rFonts w:ascii="Arial" w:hAnsi="Arial" w:cs="Arial"/>
          <w:sz w:val="22"/>
        </w:rPr>
        <w:t>to form a Combined Authority with a commitment to borrow to fund the required transport infrastructure</w:t>
      </w:r>
      <w:r w:rsidR="00AE7BFA">
        <w:rPr>
          <w:rFonts w:ascii="Arial" w:hAnsi="Arial" w:cs="Arial"/>
          <w:sz w:val="22"/>
        </w:rPr>
        <w:t xml:space="preserve"> for the area</w:t>
      </w:r>
      <w:r w:rsidRPr="004962F8">
        <w:rPr>
          <w:rFonts w:ascii="Arial" w:hAnsi="Arial" w:cs="Arial"/>
          <w:sz w:val="22"/>
        </w:rPr>
        <w:t xml:space="preserve">. </w:t>
      </w:r>
    </w:p>
    <w:p w:rsidR="004962F8" w:rsidRDefault="004962F8" w:rsidP="00564415">
      <w:pPr>
        <w:pStyle w:val="BodyText"/>
        <w:jc w:val="left"/>
        <w:rPr>
          <w:rFonts w:ascii="Arial" w:hAnsi="Arial" w:cs="Arial"/>
          <w:sz w:val="22"/>
          <w:highlight w:val="yellow"/>
        </w:rPr>
      </w:pPr>
    </w:p>
    <w:p w:rsidR="00FC486F" w:rsidRDefault="00FC486F" w:rsidP="00564415">
      <w:pPr>
        <w:pStyle w:val="BodyText"/>
        <w:jc w:val="left"/>
        <w:rPr>
          <w:rFonts w:ascii="Arial" w:hAnsi="Arial" w:cs="Arial"/>
          <w:sz w:val="22"/>
          <w:highlight w:val="yellow"/>
        </w:rPr>
      </w:pPr>
    </w:p>
    <w:p w:rsidR="005644C5" w:rsidRPr="009C1C4C" w:rsidRDefault="005644C5" w:rsidP="00564415">
      <w:pPr>
        <w:pStyle w:val="BodyText"/>
        <w:jc w:val="left"/>
        <w:rPr>
          <w:rFonts w:ascii="Arial" w:hAnsi="Arial" w:cs="Arial"/>
          <w:b/>
          <w:color w:val="003399"/>
          <w:szCs w:val="24"/>
        </w:rPr>
      </w:pPr>
      <w:r w:rsidRPr="009C1C4C">
        <w:rPr>
          <w:rFonts w:ascii="Arial" w:hAnsi="Arial" w:cs="Arial"/>
          <w:b/>
          <w:color w:val="003399"/>
          <w:szCs w:val="24"/>
        </w:rPr>
        <w:t>Community Infrastructure Levy</w:t>
      </w:r>
    </w:p>
    <w:p w:rsidR="005644C5" w:rsidRPr="001C424B" w:rsidRDefault="005644C5" w:rsidP="00564415">
      <w:pPr>
        <w:pStyle w:val="BodyText"/>
        <w:jc w:val="left"/>
        <w:rPr>
          <w:rFonts w:ascii="Arial" w:hAnsi="Arial" w:cs="Arial"/>
          <w:sz w:val="22"/>
          <w:highlight w:val="yellow"/>
        </w:rPr>
      </w:pPr>
    </w:p>
    <w:p w:rsidR="00564415" w:rsidRPr="005B6EA4" w:rsidRDefault="005644C5" w:rsidP="00564415">
      <w:pPr>
        <w:pStyle w:val="BodyText"/>
        <w:jc w:val="left"/>
        <w:rPr>
          <w:rFonts w:ascii="Arial" w:hAnsi="Arial" w:cs="Arial"/>
          <w:sz w:val="22"/>
          <w:szCs w:val="22"/>
        </w:rPr>
      </w:pPr>
      <w:r w:rsidRPr="00AF554C">
        <w:rPr>
          <w:rFonts w:ascii="Arial" w:hAnsi="Arial" w:cs="Arial"/>
          <w:sz w:val="22"/>
        </w:rPr>
        <w:t>T</w:t>
      </w:r>
      <w:r w:rsidR="005B6EA4" w:rsidRPr="00AF554C">
        <w:rPr>
          <w:rFonts w:ascii="Arial" w:hAnsi="Arial" w:cs="Arial"/>
          <w:sz w:val="22"/>
        </w:rPr>
        <w:t xml:space="preserve">he Community Infrastructure Levy </w:t>
      </w:r>
      <w:r w:rsidR="004962F8" w:rsidRPr="00AF554C">
        <w:rPr>
          <w:rFonts w:ascii="Arial" w:hAnsi="Arial" w:cs="Arial"/>
          <w:sz w:val="22"/>
          <w:szCs w:val="22"/>
        </w:rPr>
        <w:t>(CIL)</w:t>
      </w:r>
      <w:r w:rsidR="005B6EA4" w:rsidRPr="00AF554C">
        <w:rPr>
          <w:rFonts w:ascii="Arial" w:hAnsi="Arial" w:cs="Arial"/>
          <w:sz w:val="22"/>
          <w:szCs w:val="22"/>
        </w:rPr>
        <w:t xml:space="preserve"> </w:t>
      </w:r>
      <w:r w:rsidRPr="00AF554C">
        <w:rPr>
          <w:rFonts w:ascii="Arial" w:hAnsi="Arial" w:cs="Arial"/>
          <w:sz w:val="22"/>
          <w:szCs w:val="22"/>
        </w:rPr>
        <w:t xml:space="preserve">is </w:t>
      </w:r>
      <w:r w:rsidR="005B6EA4" w:rsidRPr="00AF554C">
        <w:rPr>
          <w:rFonts w:ascii="Arial" w:hAnsi="Arial" w:cs="Arial"/>
          <w:sz w:val="22"/>
          <w:szCs w:val="22"/>
        </w:rPr>
        <w:t xml:space="preserve">a levy that Councils can choose to charge on new developments in their area to fund infrastructure that the Council, local community and neighbourhoods want. </w:t>
      </w:r>
      <w:r w:rsidR="00AF554C" w:rsidRPr="00AF554C">
        <w:rPr>
          <w:rFonts w:ascii="Arial" w:hAnsi="Arial" w:cs="Arial"/>
          <w:sz w:val="22"/>
          <w:szCs w:val="22"/>
        </w:rPr>
        <w:t>Consultation on the draft charging</w:t>
      </w:r>
      <w:r w:rsidR="00AF554C">
        <w:rPr>
          <w:rFonts w:ascii="Arial" w:hAnsi="Arial" w:cs="Arial"/>
          <w:sz w:val="22"/>
          <w:szCs w:val="22"/>
        </w:rPr>
        <w:t xml:space="preserve"> schedule </w:t>
      </w:r>
      <w:r w:rsidR="00551D29">
        <w:rPr>
          <w:rFonts w:ascii="Arial" w:hAnsi="Arial" w:cs="Arial"/>
          <w:sz w:val="22"/>
          <w:szCs w:val="22"/>
        </w:rPr>
        <w:t>began</w:t>
      </w:r>
      <w:r w:rsidR="00AF554C">
        <w:rPr>
          <w:rFonts w:ascii="Arial" w:hAnsi="Arial" w:cs="Arial"/>
          <w:sz w:val="22"/>
          <w:szCs w:val="22"/>
        </w:rPr>
        <w:t xml:space="preserve"> in April 2014.</w:t>
      </w:r>
    </w:p>
    <w:p w:rsidR="00153C5F" w:rsidRDefault="00153C5F" w:rsidP="00564415">
      <w:pPr>
        <w:pStyle w:val="BodyText"/>
        <w:jc w:val="left"/>
        <w:rPr>
          <w:rFonts w:ascii="Arial" w:hAnsi="Arial" w:cs="Arial"/>
          <w:sz w:val="22"/>
        </w:rPr>
      </w:pPr>
    </w:p>
    <w:p w:rsidR="00AF554C" w:rsidRDefault="00AF554C" w:rsidP="00564415">
      <w:pPr>
        <w:pStyle w:val="BodyText"/>
        <w:jc w:val="left"/>
        <w:rPr>
          <w:rFonts w:ascii="Arial" w:hAnsi="Arial" w:cs="Arial"/>
          <w:sz w:val="22"/>
        </w:rPr>
      </w:pPr>
    </w:p>
    <w:p w:rsidR="00AF554C" w:rsidRDefault="00AF554C" w:rsidP="00564415">
      <w:pPr>
        <w:pStyle w:val="BodyText"/>
        <w:jc w:val="left"/>
        <w:rPr>
          <w:rFonts w:ascii="Arial" w:hAnsi="Arial" w:cs="Arial"/>
          <w:sz w:val="22"/>
        </w:rPr>
      </w:pPr>
    </w:p>
    <w:p w:rsidR="00AF554C" w:rsidRDefault="00AF554C" w:rsidP="00564415">
      <w:pPr>
        <w:pStyle w:val="BodyText"/>
        <w:jc w:val="left"/>
        <w:rPr>
          <w:rFonts w:ascii="Arial" w:hAnsi="Arial" w:cs="Arial"/>
          <w:sz w:val="22"/>
        </w:rPr>
      </w:pPr>
    </w:p>
    <w:p w:rsidR="00564415" w:rsidRDefault="00564415" w:rsidP="00564415">
      <w:pPr>
        <w:pStyle w:val="Heading6"/>
        <w:jc w:val="left"/>
        <w:rPr>
          <w:rFonts w:ascii="Arial" w:hAnsi="Arial" w:cs="Arial"/>
        </w:rPr>
      </w:pPr>
    </w:p>
    <w:p w:rsidR="00564415" w:rsidRDefault="00564415" w:rsidP="00564415">
      <w:pPr>
        <w:pStyle w:val="Heading6"/>
        <w:jc w:val="left"/>
        <w:rPr>
          <w:rFonts w:ascii="Arial" w:hAnsi="Arial" w:cs="Arial"/>
        </w:rPr>
      </w:pPr>
      <w:r>
        <w:rPr>
          <w:rFonts w:ascii="Arial" w:hAnsi="Arial" w:cs="Arial"/>
        </w:rPr>
        <w:t>Auditor’s Opinion</w:t>
      </w:r>
    </w:p>
    <w:p w:rsidR="00564415" w:rsidRDefault="00564415" w:rsidP="00564415">
      <w:pPr>
        <w:rPr>
          <w:rFonts w:ascii="Arial" w:hAnsi="Arial" w:cs="Arial"/>
          <w:b/>
          <w:sz w:val="22"/>
        </w:rPr>
      </w:pPr>
    </w:p>
    <w:p w:rsidR="00564415" w:rsidRDefault="00406569" w:rsidP="00564415">
      <w:pPr>
        <w:pStyle w:val="BodyText"/>
        <w:jc w:val="left"/>
        <w:rPr>
          <w:rFonts w:ascii="Arial" w:hAnsi="Arial" w:cs="Arial"/>
          <w:sz w:val="22"/>
        </w:rPr>
      </w:pPr>
      <w:r>
        <w:rPr>
          <w:rFonts w:ascii="Arial" w:hAnsi="Arial" w:cs="Arial"/>
          <w:noProof/>
          <w:sz w:val="22"/>
          <w:lang w:eastAsia="en-GB"/>
        </w:rPr>
        <w:drawing>
          <wp:anchor distT="0" distB="0" distL="114300" distR="114300" simplePos="0" relativeHeight="251731968" behindDoc="0" locked="0" layoutInCell="1" allowOverlap="1" wp14:anchorId="6DC265B4" wp14:editId="55C4AC77">
            <wp:simplePos x="0" y="0"/>
            <wp:positionH relativeFrom="column">
              <wp:posOffset>71120</wp:posOffset>
            </wp:positionH>
            <wp:positionV relativeFrom="paragraph">
              <wp:posOffset>281305</wp:posOffset>
            </wp:positionV>
            <wp:extent cx="2152650" cy="6102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415">
        <w:rPr>
          <w:rFonts w:ascii="Arial" w:hAnsi="Arial" w:cs="Arial"/>
          <w:sz w:val="22"/>
        </w:rPr>
        <w:t xml:space="preserve">The </w:t>
      </w:r>
      <w:r w:rsidR="00B865DB">
        <w:rPr>
          <w:rFonts w:ascii="Arial" w:hAnsi="Arial" w:cs="Arial"/>
          <w:sz w:val="22"/>
        </w:rPr>
        <w:t>Statement of Accounts has been audited with the Aud</w:t>
      </w:r>
      <w:bookmarkStart w:id="0" w:name="_GoBack"/>
      <w:bookmarkEnd w:id="0"/>
      <w:r w:rsidR="00B865DB">
        <w:rPr>
          <w:rFonts w:ascii="Arial" w:hAnsi="Arial" w:cs="Arial"/>
          <w:sz w:val="22"/>
        </w:rPr>
        <w:t>itor’s opinion on page 13.</w:t>
      </w:r>
    </w:p>
    <w:p w:rsidR="00564415" w:rsidRDefault="00564415" w:rsidP="00564415">
      <w:pPr>
        <w:rPr>
          <w:rFonts w:ascii="Arial" w:hAnsi="Arial" w:cs="Arial"/>
          <w:sz w:val="22"/>
        </w:rPr>
      </w:pPr>
      <w:r>
        <w:rPr>
          <w:rFonts w:ascii="Arial" w:hAnsi="Arial" w:cs="Arial"/>
          <w:sz w:val="22"/>
        </w:rPr>
        <w:t>Alex Colyer</w:t>
      </w:r>
    </w:p>
    <w:p w:rsidR="00564415" w:rsidRDefault="00564415" w:rsidP="00564415">
      <w:pPr>
        <w:rPr>
          <w:rFonts w:ascii="Arial" w:hAnsi="Arial" w:cs="Arial"/>
          <w:sz w:val="22"/>
        </w:rPr>
      </w:pPr>
      <w:r>
        <w:rPr>
          <w:rFonts w:ascii="Arial" w:hAnsi="Arial" w:cs="Arial"/>
          <w:sz w:val="22"/>
        </w:rPr>
        <w:t xml:space="preserve">Executive Director and Chief Finance Officer                                 </w:t>
      </w:r>
      <w:r>
        <w:rPr>
          <w:rFonts w:ascii="Arial" w:hAnsi="Arial" w:cs="Arial"/>
          <w:sz w:val="22"/>
        </w:rPr>
        <w:tab/>
        <w:t xml:space="preserve"> </w:t>
      </w:r>
    </w:p>
    <w:p w:rsidR="00564415" w:rsidRDefault="00564415" w:rsidP="00564415">
      <w:pPr>
        <w:pStyle w:val="Heading2"/>
        <w:jc w:val="left"/>
        <w:rPr>
          <w:rFonts w:ascii="Arial" w:hAnsi="Arial" w:cs="Arial"/>
          <w:b/>
          <w:bCs/>
          <w:color w:val="000080"/>
          <w:sz w:val="32"/>
        </w:rPr>
      </w:pPr>
    </w:p>
    <w:p w:rsidR="00564415" w:rsidRDefault="00564415" w:rsidP="00564415">
      <w:pPr>
        <w:pStyle w:val="xl65"/>
        <w:spacing w:before="0" w:beforeAutospacing="0" w:after="0" w:afterAutospacing="0"/>
        <w:rPr>
          <w:rFonts w:eastAsia="Times New Roman"/>
          <w:szCs w:val="20"/>
        </w:rPr>
      </w:pPr>
      <w:r>
        <w:rPr>
          <w:rFonts w:eastAsia="Times New Roman"/>
          <w:szCs w:val="20"/>
        </w:rPr>
        <w:t xml:space="preserve">Dated: </w:t>
      </w:r>
      <w:r w:rsidR="00B865DB">
        <w:rPr>
          <w:rFonts w:eastAsia="Times New Roman"/>
          <w:szCs w:val="20"/>
        </w:rPr>
        <w:t>26 September</w:t>
      </w:r>
      <w:r w:rsidR="001C424B">
        <w:rPr>
          <w:rFonts w:eastAsia="Times New Roman"/>
          <w:szCs w:val="20"/>
        </w:rPr>
        <w:t xml:space="preserve"> 2014</w:t>
      </w:r>
    </w:p>
    <w:p w:rsidR="00F23FFF" w:rsidRDefault="003552BC">
      <w:pPr>
        <w:pStyle w:val="Heading2"/>
        <w:jc w:val="left"/>
        <w:rPr>
          <w:rFonts w:ascii="Arial" w:hAnsi="Arial" w:cs="Arial"/>
          <w:b/>
          <w:bCs/>
          <w:color w:val="000080"/>
          <w:sz w:val="32"/>
        </w:rPr>
      </w:pPr>
      <w:r>
        <w:rPr>
          <w:rFonts w:ascii="Arial" w:hAnsi="Arial" w:cs="Arial"/>
          <w:b/>
          <w:bCs/>
          <w:color w:val="000080"/>
          <w:sz w:val="32"/>
        </w:rPr>
        <w:br w:type="page"/>
      </w:r>
      <w:r>
        <w:rPr>
          <w:rFonts w:ascii="Arial" w:hAnsi="Arial" w:cs="Arial"/>
          <w:b/>
          <w:bCs/>
          <w:color w:val="000080"/>
          <w:sz w:val="32"/>
        </w:rPr>
        <w:lastRenderedPageBreak/>
        <w:t>Statement of Responsibilities for the Statement of Accounts</w:t>
      </w:r>
    </w:p>
    <w:p w:rsidR="00F23FFF" w:rsidRDefault="00F23FFF">
      <w:pPr>
        <w:rPr>
          <w:rFonts w:ascii="Arial" w:hAnsi="Arial" w:cs="Arial"/>
          <w:sz w:val="22"/>
        </w:rPr>
      </w:pPr>
    </w:p>
    <w:p w:rsidR="00F23FFF" w:rsidRDefault="003552BC">
      <w:pPr>
        <w:pStyle w:val="Heading1"/>
        <w:rPr>
          <w:rFonts w:ascii="Arial" w:hAnsi="Arial" w:cs="Arial"/>
          <w:b/>
          <w:color w:val="000080"/>
        </w:rPr>
      </w:pPr>
      <w:r>
        <w:rPr>
          <w:rFonts w:ascii="Arial" w:hAnsi="Arial" w:cs="Arial"/>
          <w:b/>
          <w:color w:val="000080"/>
        </w:rPr>
        <w:t>The Authority’s responsibilities</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The Authority is required to:</w:t>
      </w:r>
    </w:p>
    <w:p w:rsidR="00F23FFF" w:rsidRDefault="00F23FFF">
      <w:pPr>
        <w:rPr>
          <w:rFonts w:ascii="Arial" w:hAnsi="Arial" w:cs="Arial"/>
          <w:sz w:val="22"/>
        </w:rPr>
      </w:pPr>
    </w:p>
    <w:p w:rsidR="00F23FFF" w:rsidRDefault="003552BC">
      <w:pPr>
        <w:numPr>
          <w:ilvl w:val="0"/>
          <w:numId w:val="1"/>
        </w:numPr>
        <w:rPr>
          <w:rFonts w:ascii="Arial" w:hAnsi="Arial" w:cs="Arial"/>
          <w:sz w:val="22"/>
        </w:rPr>
      </w:pPr>
      <w:proofErr w:type="gramStart"/>
      <w:r>
        <w:rPr>
          <w:rFonts w:ascii="Arial" w:hAnsi="Arial" w:cs="Arial"/>
          <w:sz w:val="22"/>
        </w:rPr>
        <w:t>make</w:t>
      </w:r>
      <w:proofErr w:type="gramEnd"/>
      <w:r>
        <w:rPr>
          <w:rFonts w:ascii="Arial" w:hAnsi="Arial" w:cs="Arial"/>
          <w:sz w:val="22"/>
        </w:rPr>
        <w:t xml:space="preserve"> arrangements for the proper administration of its financial affairs and to secure that one of its officers has the responsibility for the administration of those affairs. In this authority, that officer is the Executive Director (Corporate Services) who is the chief financial officer;</w:t>
      </w:r>
    </w:p>
    <w:p w:rsidR="00F23FFF" w:rsidRDefault="003552BC">
      <w:pPr>
        <w:numPr>
          <w:ilvl w:val="0"/>
          <w:numId w:val="1"/>
        </w:numPr>
        <w:rPr>
          <w:rFonts w:ascii="Arial" w:hAnsi="Arial" w:cs="Arial"/>
          <w:sz w:val="22"/>
        </w:rPr>
      </w:pPr>
      <w:r>
        <w:rPr>
          <w:rFonts w:ascii="Arial" w:hAnsi="Arial" w:cs="Arial"/>
          <w:sz w:val="22"/>
        </w:rPr>
        <w:t>manage its affairs to secure economic, efficient and effective use of resources and safeguard its assets; and</w:t>
      </w:r>
    </w:p>
    <w:p w:rsidR="00F23FFF" w:rsidRDefault="003552BC">
      <w:pPr>
        <w:numPr>
          <w:ilvl w:val="0"/>
          <w:numId w:val="1"/>
        </w:numPr>
        <w:rPr>
          <w:rFonts w:ascii="Arial" w:hAnsi="Arial" w:cs="Arial"/>
          <w:sz w:val="22"/>
        </w:rPr>
      </w:pPr>
      <w:proofErr w:type="gramStart"/>
      <w:r>
        <w:rPr>
          <w:rFonts w:ascii="Arial" w:hAnsi="Arial" w:cs="Arial"/>
          <w:sz w:val="22"/>
        </w:rPr>
        <w:t>approve</w:t>
      </w:r>
      <w:proofErr w:type="gramEnd"/>
      <w:r>
        <w:rPr>
          <w:rFonts w:ascii="Arial" w:hAnsi="Arial" w:cs="Arial"/>
          <w:sz w:val="22"/>
        </w:rPr>
        <w:t xml:space="preserve"> the Statement of Accounts.</w:t>
      </w:r>
    </w:p>
    <w:p w:rsidR="00FE52CC" w:rsidRDefault="00FE52CC" w:rsidP="00FE52CC">
      <w:pPr>
        <w:rPr>
          <w:rFonts w:ascii="Arial" w:hAnsi="Arial" w:cs="Arial"/>
          <w:sz w:val="22"/>
        </w:rPr>
      </w:pPr>
    </w:p>
    <w:p w:rsidR="00FE52CC" w:rsidRDefault="00FE52CC" w:rsidP="00FE52CC">
      <w:pPr>
        <w:rPr>
          <w:rFonts w:ascii="Arial" w:hAnsi="Arial" w:cs="Arial"/>
          <w:sz w:val="22"/>
        </w:rPr>
      </w:pPr>
    </w:p>
    <w:p w:rsidR="00FE52CC" w:rsidRDefault="00FE52CC" w:rsidP="00FE52CC">
      <w:pPr>
        <w:rPr>
          <w:rFonts w:ascii="Arial" w:hAnsi="Arial" w:cs="Arial"/>
          <w:sz w:val="22"/>
        </w:rPr>
      </w:pPr>
      <w:r>
        <w:rPr>
          <w:rFonts w:ascii="Arial" w:hAnsi="Arial" w:cs="Arial"/>
          <w:sz w:val="22"/>
        </w:rPr>
        <w:t>I confirm that these accounts were approved by the Corporate Governance Committee held on 26 September 2014.</w:t>
      </w:r>
    </w:p>
    <w:p w:rsidR="00FE52CC" w:rsidRDefault="00FE52CC" w:rsidP="00FE52CC">
      <w:pPr>
        <w:rPr>
          <w:rFonts w:ascii="Arial" w:hAnsi="Arial" w:cs="Arial"/>
          <w:sz w:val="22"/>
        </w:rPr>
      </w:pPr>
    </w:p>
    <w:p w:rsidR="00FE52CC" w:rsidRDefault="00FE52CC" w:rsidP="00FE52CC">
      <w:pPr>
        <w:rPr>
          <w:rFonts w:ascii="Arial" w:hAnsi="Arial" w:cs="Arial"/>
          <w:sz w:val="22"/>
        </w:rPr>
      </w:pPr>
    </w:p>
    <w:p w:rsidR="00FE52CC" w:rsidRDefault="00FE52CC" w:rsidP="00FE52CC">
      <w:pPr>
        <w:rPr>
          <w:rFonts w:ascii="Arial" w:hAnsi="Arial" w:cs="Arial"/>
          <w:sz w:val="22"/>
        </w:rPr>
      </w:pPr>
    </w:p>
    <w:p w:rsidR="00FE52CC" w:rsidRDefault="00FE52CC" w:rsidP="00FE52CC">
      <w:pPr>
        <w:rPr>
          <w:rFonts w:ascii="Arial" w:hAnsi="Arial" w:cs="Arial"/>
          <w:sz w:val="22"/>
        </w:rPr>
      </w:pPr>
    </w:p>
    <w:p w:rsidR="00FE52CC" w:rsidRDefault="00FE52CC" w:rsidP="00FE52CC">
      <w:pPr>
        <w:rPr>
          <w:rFonts w:ascii="Arial" w:hAnsi="Arial" w:cs="Arial"/>
          <w:sz w:val="22"/>
        </w:rPr>
      </w:pPr>
      <w:r>
        <w:rPr>
          <w:rFonts w:ascii="Arial" w:hAnsi="Arial" w:cs="Arial"/>
          <w:sz w:val="22"/>
        </w:rPr>
        <w:t>Chairman of the Corporate Governance Committee</w:t>
      </w:r>
    </w:p>
    <w:p w:rsidR="00FE52CC" w:rsidRDefault="00FE52CC" w:rsidP="00FE52CC">
      <w:pPr>
        <w:rPr>
          <w:rFonts w:ascii="Arial" w:hAnsi="Arial" w:cs="Arial"/>
          <w:sz w:val="22"/>
        </w:rPr>
      </w:pPr>
    </w:p>
    <w:p w:rsidR="00F23FFF" w:rsidRDefault="00F23FFF">
      <w:pPr>
        <w:rPr>
          <w:rFonts w:ascii="Arial" w:hAnsi="Arial" w:cs="Arial"/>
          <w:sz w:val="22"/>
        </w:rPr>
      </w:pPr>
    </w:p>
    <w:p w:rsidR="00F23FFF" w:rsidRDefault="003552BC">
      <w:pPr>
        <w:pStyle w:val="Heading3"/>
        <w:jc w:val="left"/>
        <w:rPr>
          <w:rFonts w:ascii="Arial" w:hAnsi="Arial" w:cs="Arial"/>
          <w:color w:val="000080"/>
        </w:rPr>
      </w:pPr>
      <w:r>
        <w:rPr>
          <w:rFonts w:ascii="Arial" w:hAnsi="Arial" w:cs="Arial"/>
          <w:color w:val="000080"/>
        </w:rPr>
        <w:t>The responsibilities of the Executive Director (Corporate Services) as chief financial officer</w:t>
      </w:r>
    </w:p>
    <w:p w:rsidR="00F23FFF" w:rsidRDefault="00F23FFF">
      <w:pPr>
        <w:rPr>
          <w:rFonts w:ascii="Arial" w:hAnsi="Arial" w:cs="Arial"/>
          <w:sz w:val="22"/>
        </w:rPr>
      </w:pPr>
    </w:p>
    <w:p w:rsidR="00F23FFF" w:rsidRDefault="003552BC">
      <w:pPr>
        <w:pStyle w:val="BodyText"/>
        <w:jc w:val="left"/>
        <w:rPr>
          <w:rFonts w:ascii="Arial" w:hAnsi="Arial" w:cs="Arial"/>
          <w:sz w:val="22"/>
        </w:rPr>
      </w:pPr>
      <w:r>
        <w:rPr>
          <w:rFonts w:ascii="Arial" w:hAnsi="Arial" w:cs="Arial"/>
          <w:sz w:val="22"/>
        </w:rPr>
        <w:t>The Executive Director (Corporate Services) as chief financial officer is responsible for the preparation of the Authority’s Statement of Accounts, in accordance with proper practices as set out in the Chartered Institute of Public Finance and Accountancy Code of Practice on Local Authority Accounting in the United Kingdom - (the Code).</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In preparing this Statement of Accounts, the Executive Director (Corporate Services) as chief financial officer has:</w:t>
      </w:r>
    </w:p>
    <w:p w:rsidR="00F23FFF" w:rsidRDefault="00F23FFF">
      <w:pPr>
        <w:rPr>
          <w:rFonts w:ascii="Arial" w:hAnsi="Arial" w:cs="Arial"/>
          <w:sz w:val="22"/>
        </w:rPr>
      </w:pPr>
    </w:p>
    <w:p w:rsidR="00F23FFF" w:rsidRDefault="003552BC">
      <w:pPr>
        <w:numPr>
          <w:ilvl w:val="0"/>
          <w:numId w:val="2"/>
        </w:numPr>
        <w:rPr>
          <w:rFonts w:ascii="Arial" w:hAnsi="Arial" w:cs="Arial"/>
          <w:sz w:val="22"/>
        </w:rPr>
      </w:pPr>
      <w:r>
        <w:rPr>
          <w:rFonts w:ascii="Arial" w:hAnsi="Arial" w:cs="Arial"/>
          <w:sz w:val="22"/>
        </w:rPr>
        <w:t>selected suitable accounting policies and then applied them consistently;</w:t>
      </w:r>
    </w:p>
    <w:p w:rsidR="00F23FFF" w:rsidRDefault="003552BC">
      <w:pPr>
        <w:numPr>
          <w:ilvl w:val="0"/>
          <w:numId w:val="2"/>
        </w:numPr>
        <w:rPr>
          <w:rFonts w:ascii="Arial" w:hAnsi="Arial" w:cs="Arial"/>
          <w:sz w:val="22"/>
        </w:rPr>
      </w:pPr>
      <w:r>
        <w:rPr>
          <w:rFonts w:ascii="Arial" w:hAnsi="Arial" w:cs="Arial"/>
          <w:sz w:val="22"/>
        </w:rPr>
        <w:t>made judgements and estimates that were reasonable and prudent; and</w:t>
      </w:r>
    </w:p>
    <w:p w:rsidR="00F23FFF" w:rsidRDefault="003552BC">
      <w:pPr>
        <w:numPr>
          <w:ilvl w:val="0"/>
          <w:numId w:val="2"/>
        </w:numPr>
        <w:rPr>
          <w:rFonts w:ascii="Arial" w:hAnsi="Arial" w:cs="Arial"/>
          <w:sz w:val="22"/>
        </w:rPr>
      </w:pPr>
      <w:proofErr w:type="gramStart"/>
      <w:r>
        <w:rPr>
          <w:rFonts w:ascii="Arial" w:hAnsi="Arial" w:cs="Arial"/>
          <w:sz w:val="22"/>
        </w:rPr>
        <w:t>complied</w:t>
      </w:r>
      <w:proofErr w:type="gramEnd"/>
      <w:r>
        <w:rPr>
          <w:rFonts w:ascii="Arial" w:hAnsi="Arial" w:cs="Arial"/>
          <w:sz w:val="22"/>
        </w:rPr>
        <w:t xml:space="preserve"> with the local authority Code.</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The Executive Director (Corporate Services) as chief financial officer has also:</w:t>
      </w:r>
    </w:p>
    <w:p w:rsidR="00F23FFF" w:rsidRDefault="00F23FFF">
      <w:pPr>
        <w:rPr>
          <w:rFonts w:ascii="Arial" w:hAnsi="Arial" w:cs="Arial"/>
          <w:sz w:val="22"/>
        </w:rPr>
      </w:pPr>
    </w:p>
    <w:p w:rsidR="00F23FFF" w:rsidRDefault="003552BC">
      <w:pPr>
        <w:numPr>
          <w:ilvl w:val="0"/>
          <w:numId w:val="3"/>
        </w:numPr>
        <w:rPr>
          <w:rFonts w:ascii="Arial" w:hAnsi="Arial" w:cs="Arial"/>
          <w:sz w:val="22"/>
        </w:rPr>
      </w:pPr>
      <w:r>
        <w:rPr>
          <w:rFonts w:ascii="Arial" w:hAnsi="Arial" w:cs="Arial"/>
          <w:sz w:val="22"/>
        </w:rPr>
        <w:t>kept proper accounting records which were up to date; and</w:t>
      </w:r>
    </w:p>
    <w:p w:rsidR="00F23FFF" w:rsidRDefault="003552BC">
      <w:pPr>
        <w:numPr>
          <w:ilvl w:val="0"/>
          <w:numId w:val="3"/>
        </w:numPr>
        <w:rPr>
          <w:rFonts w:ascii="Arial" w:hAnsi="Arial" w:cs="Arial"/>
          <w:sz w:val="22"/>
        </w:rPr>
      </w:pPr>
      <w:proofErr w:type="gramStart"/>
      <w:r>
        <w:rPr>
          <w:rFonts w:ascii="Arial" w:hAnsi="Arial" w:cs="Arial"/>
          <w:sz w:val="22"/>
        </w:rPr>
        <w:t>taken</w:t>
      </w:r>
      <w:proofErr w:type="gramEnd"/>
      <w:r>
        <w:rPr>
          <w:rFonts w:ascii="Arial" w:hAnsi="Arial" w:cs="Arial"/>
          <w:sz w:val="22"/>
        </w:rPr>
        <w:t xml:space="preserve"> reasonable steps for the prevention and detection of fraud and other irregularities.</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The Statement of Accounts presents a true and fair view of the financial position of the Authority at 31 March 201</w:t>
      </w:r>
      <w:r w:rsidR="00C1526B">
        <w:rPr>
          <w:rFonts w:ascii="Arial" w:hAnsi="Arial" w:cs="Arial"/>
          <w:sz w:val="22"/>
        </w:rPr>
        <w:t>4</w:t>
      </w:r>
      <w:r>
        <w:rPr>
          <w:rFonts w:ascii="Arial" w:hAnsi="Arial" w:cs="Arial"/>
          <w:sz w:val="22"/>
        </w:rPr>
        <w:t xml:space="preserve"> and its income and expenditure for the year then ended.</w:t>
      </w:r>
    </w:p>
    <w:p w:rsidR="00F23FFF" w:rsidRDefault="00406569">
      <w:pPr>
        <w:rPr>
          <w:rFonts w:ascii="Arial" w:hAnsi="Arial" w:cs="Arial"/>
          <w:sz w:val="22"/>
        </w:rPr>
      </w:pPr>
      <w:r>
        <w:rPr>
          <w:rFonts w:ascii="Arial" w:hAnsi="Arial" w:cs="Arial"/>
          <w:noProof/>
          <w:sz w:val="22"/>
          <w:lang w:eastAsia="en-GB"/>
        </w:rPr>
        <w:drawing>
          <wp:inline distT="0" distB="0" distL="0" distR="0">
            <wp:extent cx="2047875" cy="5919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591998"/>
                    </a:xfrm>
                    <a:prstGeom prst="rect">
                      <a:avLst/>
                    </a:prstGeom>
                    <a:noFill/>
                    <a:ln>
                      <a:noFill/>
                    </a:ln>
                  </pic:spPr>
                </pic:pic>
              </a:graphicData>
            </a:graphic>
          </wp:inline>
        </w:drawing>
      </w:r>
    </w:p>
    <w:p w:rsidR="00F23FFF" w:rsidRDefault="003552BC">
      <w:pPr>
        <w:rPr>
          <w:rFonts w:ascii="Arial" w:hAnsi="Arial" w:cs="Arial"/>
          <w:sz w:val="22"/>
        </w:rPr>
      </w:pPr>
      <w:r>
        <w:rPr>
          <w:rFonts w:ascii="Arial" w:hAnsi="Arial" w:cs="Arial"/>
          <w:sz w:val="22"/>
        </w:rPr>
        <w:t>Alex Colyer</w:t>
      </w:r>
    </w:p>
    <w:p w:rsidR="00F23FFF" w:rsidRDefault="003552BC">
      <w:pPr>
        <w:pStyle w:val="xl65"/>
        <w:spacing w:before="0" w:beforeAutospacing="0" w:after="0" w:afterAutospacing="0"/>
        <w:rPr>
          <w:rFonts w:eastAsia="Times New Roman"/>
          <w:szCs w:val="20"/>
        </w:rPr>
      </w:pPr>
      <w:r>
        <w:rPr>
          <w:rFonts w:eastAsia="Times New Roman"/>
          <w:szCs w:val="20"/>
        </w:rPr>
        <w:t>Executive Director (Corporat</w:t>
      </w:r>
      <w:r w:rsidR="00AF7287">
        <w:rPr>
          <w:rFonts w:eastAsia="Times New Roman"/>
          <w:szCs w:val="20"/>
        </w:rPr>
        <w:t>e Services) as Chief Financial O</w:t>
      </w:r>
      <w:r>
        <w:rPr>
          <w:rFonts w:eastAsia="Times New Roman"/>
          <w:szCs w:val="20"/>
        </w:rPr>
        <w:t>fficer</w:t>
      </w:r>
    </w:p>
    <w:p w:rsidR="003C3C97" w:rsidRPr="00FE52CC" w:rsidRDefault="003552BC" w:rsidP="003C3C97">
      <w:pPr>
        <w:rPr>
          <w:rFonts w:ascii="Arial" w:hAnsi="Arial" w:cs="Arial"/>
          <w:sz w:val="22"/>
        </w:rPr>
      </w:pPr>
      <w:r>
        <w:rPr>
          <w:rFonts w:ascii="Arial" w:hAnsi="Arial" w:cs="Arial"/>
          <w:sz w:val="22"/>
        </w:rPr>
        <w:t xml:space="preserve">Dated: </w:t>
      </w:r>
      <w:r w:rsidR="00B865DB">
        <w:rPr>
          <w:rFonts w:ascii="Arial" w:hAnsi="Arial" w:cs="Arial"/>
          <w:sz w:val="22"/>
        </w:rPr>
        <w:t>26 September</w:t>
      </w:r>
      <w:r w:rsidR="0043745C">
        <w:rPr>
          <w:rFonts w:ascii="Arial" w:hAnsi="Arial" w:cs="Arial"/>
          <w:sz w:val="22"/>
        </w:rPr>
        <w:t xml:space="preserve"> 201</w:t>
      </w:r>
      <w:r w:rsidR="00C1526B">
        <w:rPr>
          <w:rFonts w:ascii="Arial" w:hAnsi="Arial" w:cs="Arial"/>
          <w:sz w:val="22"/>
        </w:rPr>
        <w:t>4</w:t>
      </w:r>
    </w:p>
    <w:p w:rsidR="0076795C" w:rsidRPr="0076795C" w:rsidRDefault="0076795C" w:rsidP="0076795C">
      <w:pPr>
        <w:rPr>
          <w:rFonts w:ascii="Arial" w:hAnsi="Arial" w:cs="Arial"/>
          <w:b/>
          <w:sz w:val="22"/>
          <w:szCs w:val="22"/>
          <w:lang w:eastAsia="en-GB"/>
        </w:rPr>
      </w:pPr>
      <w:r w:rsidRPr="0076795C">
        <w:rPr>
          <w:rFonts w:ascii="Arial" w:hAnsi="Arial" w:cs="Arial"/>
          <w:b/>
          <w:sz w:val="22"/>
          <w:szCs w:val="22"/>
          <w:lang w:eastAsia="en-GB"/>
        </w:rPr>
        <w:lastRenderedPageBreak/>
        <w:t>INDEPENDENT AUDITOR’S REPORT TO THE MEMBERS OF SOUTH CAMBRIDGESHIRE DISTRICT COUNCIL</w:t>
      </w:r>
    </w:p>
    <w:p w:rsidR="0076795C" w:rsidRPr="0076795C" w:rsidRDefault="0076795C" w:rsidP="0076795C">
      <w:pPr>
        <w:rPr>
          <w:rFonts w:ascii="Arial" w:hAnsi="Arial" w:cs="Arial"/>
          <w:b/>
          <w:sz w:val="22"/>
          <w:szCs w:val="22"/>
          <w:lang w:eastAsia="en-GB"/>
        </w:rPr>
      </w:pPr>
    </w:p>
    <w:p w:rsidR="0076795C" w:rsidRPr="0076795C" w:rsidRDefault="0076795C" w:rsidP="0076795C">
      <w:pPr>
        <w:rPr>
          <w:rFonts w:ascii="Arial" w:hAnsi="Arial"/>
          <w:b/>
          <w:sz w:val="22"/>
          <w:szCs w:val="22"/>
          <w:lang w:eastAsia="en-GB"/>
        </w:rPr>
      </w:pPr>
      <w:r w:rsidRPr="0076795C">
        <w:rPr>
          <w:rFonts w:ascii="Arial" w:hAnsi="Arial"/>
          <w:b/>
          <w:sz w:val="22"/>
          <w:szCs w:val="22"/>
          <w:lang w:eastAsia="en-GB"/>
        </w:rPr>
        <w:t>Opinion on the Authority’s financial statements</w:t>
      </w:r>
    </w:p>
    <w:p w:rsidR="0076795C" w:rsidRPr="0076795C" w:rsidRDefault="0076795C" w:rsidP="0076795C">
      <w:pPr>
        <w:rPr>
          <w:rFonts w:ascii="Arial" w:hAnsi="Arial" w:cs="Arial"/>
          <w:sz w:val="22"/>
          <w:szCs w:val="22"/>
          <w:lang w:eastAsia="en-GB"/>
        </w:rPr>
      </w:pPr>
    </w:p>
    <w:p w:rsidR="0076795C" w:rsidRPr="0076795C" w:rsidRDefault="0076795C" w:rsidP="0076795C">
      <w:pPr>
        <w:rPr>
          <w:rFonts w:ascii="Arial" w:hAnsi="Arial" w:cs="Arial"/>
          <w:sz w:val="22"/>
          <w:szCs w:val="22"/>
          <w:lang w:eastAsia="en-GB"/>
        </w:rPr>
      </w:pPr>
      <w:r w:rsidRPr="0076795C">
        <w:rPr>
          <w:rFonts w:ascii="Arial" w:hAnsi="Arial" w:cs="Arial"/>
          <w:sz w:val="22"/>
          <w:szCs w:val="22"/>
          <w:lang w:eastAsia="en-GB"/>
        </w:rPr>
        <w:t>We have audited the financial statements of South Cambridgeshire District Council for the year ended 31 March 2014 under the Audit Commission Act 1998. The financial statements comprise the Movement in Reserves Statement, the Comprehensive Income and Expenditure Statement, the Balance Sheet, the Cash Flow Statement, the Housing Revenue Account Income and Expenditure Statement, the Movement on the Housing Revenue Account Statement and Collection Fund and the related notes 1 to 49. The financial reporting framework that has been applied in their preparation is applicable law and the CIPFA/LASAAC Code of Practice on Local Authority Accounting in the United Kingdom 2013/14.</w:t>
      </w:r>
    </w:p>
    <w:p w:rsidR="0076795C" w:rsidRPr="0076795C" w:rsidRDefault="0076795C" w:rsidP="0076795C">
      <w:pPr>
        <w:rPr>
          <w:rFonts w:ascii="Arial" w:hAnsi="Arial" w:cs="Arial"/>
          <w:sz w:val="22"/>
          <w:szCs w:val="22"/>
          <w:lang w:eastAsia="en-GB"/>
        </w:rPr>
      </w:pPr>
    </w:p>
    <w:p w:rsidR="0076795C" w:rsidRPr="0076795C" w:rsidRDefault="0076795C" w:rsidP="0076795C">
      <w:pPr>
        <w:rPr>
          <w:rFonts w:ascii="Arial" w:hAnsi="Arial" w:cs="Arial"/>
          <w:sz w:val="22"/>
          <w:szCs w:val="22"/>
          <w:lang w:eastAsia="en-GB"/>
        </w:rPr>
      </w:pPr>
      <w:r w:rsidRPr="0076795C">
        <w:rPr>
          <w:rFonts w:ascii="Arial" w:hAnsi="Arial" w:cs="Arial"/>
          <w:sz w:val="22"/>
          <w:szCs w:val="22"/>
          <w:lang w:eastAsia="en-GB"/>
        </w:rPr>
        <w:t>This report is made solely to the members of South Cambridgeshire District Council, as a body, in accordance with Part II of the Audit Commission Act 1998 and for no other purpose, as set out in paragraph 48 of the Statement of Responsibilities of Auditors and Audited Bodies published by the Audit Commission in March 2010. To the fullest extent permitted by law, we do not accept or assume responsibility to anyone other than the authority and the authority’s members as a body, for our audit work, for this report, or for the opinions we have formed.</w:t>
      </w:r>
    </w:p>
    <w:p w:rsidR="0076795C" w:rsidRPr="0076795C" w:rsidRDefault="0076795C" w:rsidP="0076795C">
      <w:pPr>
        <w:rPr>
          <w:rFonts w:ascii="Arial" w:hAnsi="Arial" w:cs="Arial"/>
          <w:sz w:val="22"/>
          <w:szCs w:val="22"/>
          <w:lang w:eastAsia="en-GB"/>
        </w:rPr>
      </w:pPr>
    </w:p>
    <w:p w:rsidR="0076795C" w:rsidRPr="0076795C" w:rsidRDefault="0076795C" w:rsidP="0076795C">
      <w:pPr>
        <w:rPr>
          <w:rFonts w:ascii="Arial" w:hAnsi="Arial" w:cs="Arial"/>
          <w:b/>
          <w:sz w:val="22"/>
          <w:szCs w:val="22"/>
          <w:lang w:eastAsia="en-GB"/>
        </w:rPr>
      </w:pPr>
      <w:r w:rsidRPr="0076795C">
        <w:rPr>
          <w:rFonts w:ascii="Arial" w:hAnsi="Arial" w:cs="Arial"/>
          <w:b/>
          <w:sz w:val="22"/>
          <w:szCs w:val="22"/>
          <w:lang w:eastAsia="en-GB"/>
        </w:rPr>
        <w:t>Respective responsibilities of the Executive Director (Corporate Services) as Chief Financial Officer and auditor</w:t>
      </w:r>
    </w:p>
    <w:p w:rsidR="0076795C" w:rsidRPr="0076795C" w:rsidRDefault="0076795C" w:rsidP="0076795C">
      <w:pPr>
        <w:rPr>
          <w:rFonts w:ascii="Arial" w:hAnsi="Arial" w:cs="Arial"/>
          <w:b/>
          <w:sz w:val="22"/>
          <w:szCs w:val="22"/>
          <w:lang w:eastAsia="en-GB"/>
        </w:rPr>
      </w:pPr>
    </w:p>
    <w:p w:rsidR="0076795C" w:rsidRPr="0076795C" w:rsidRDefault="0076795C" w:rsidP="0076795C">
      <w:pPr>
        <w:autoSpaceDE w:val="0"/>
        <w:autoSpaceDN w:val="0"/>
        <w:adjustRightInd w:val="0"/>
        <w:rPr>
          <w:rFonts w:ascii="Arial" w:hAnsi="Arial" w:cs="Arial"/>
          <w:iCs/>
          <w:sz w:val="22"/>
          <w:szCs w:val="22"/>
          <w:lang w:eastAsia="en-GB"/>
        </w:rPr>
      </w:pPr>
      <w:r w:rsidRPr="0076795C">
        <w:rPr>
          <w:rFonts w:ascii="Arial" w:hAnsi="Arial" w:cs="Arial"/>
          <w:sz w:val="22"/>
          <w:szCs w:val="22"/>
          <w:lang w:eastAsia="en-GB"/>
        </w:rPr>
        <w:t xml:space="preserve">As explained more fully in the Statement of Responsibilities for the Statement of Accounts set out on page 12, the Executive Director (Corporate Services) as Chief Financial Officer is responsible for the preparation of the Statement of Accounts, which includes the financial statements, in accordance with proper practices as set out in the CIPFA/LASAAC </w:t>
      </w:r>
      <w:r w:rsidRPr="0076795C">
        <w:rPr>
          <w:rFonts w:ascii="Arial" w:hAnsi="Arial" w:cs="Arial"/>
          <w:iCs/>
          <w:sz w:val="22"/>
          <w:szCs w:val="22"/>
          <w:lang w:eastAsia="en-GB"/>
        </w:rPr>
        <w:t xml:space="preserve">Code of Practice on Local Authority Accounting in the United Kingdom 2013/14, </w:t>
      </w:r>
      <w:r w:rsidRPr="0076795C">
        <w:rPr>
          <w:rFonts w:ascii="Arial" w:hAnsi="Arial" w:cs="Arial"/>
          <w:sz w:val="22"/>
          <w:szCs w:val="22"/>
          <w:lang w:eastAsia="en-GB"/>
        </w:rPr>
        <w:t>and for being satisfied that they give a true and fair view</w:t>
      </w:r>
      <w:r w:rsidRPr="0076795C">
        <w:rPr>
          <w:rFonts w:ascii="Arial" w:hAnsi="Arial" w:cs="Arial"/>
          <w:iCs/>
          <w:sz w:val="22"/>
          <w:szCs w:val="22"/>
          <w:lang w:eastAsia="en-GB"/>
        </w:rPr>
        <w:t>. Our responsibility is to audit and express an opinion on the financial statements in accordance with applicable law and International Standards on Auditing (UK and Ireland). Those standards require us to comply with the Auditing Practices Board’s Ethical Standards for Auditors.</w:t>
      </w:r>
    </w:p>
    <w:p w:rsidR="0076795C" w:rsidRPr="0076795C" w:rsidRDefault="0076795C" w:rsidP="0076795C">
      <w:pPr>
        <w:autoSpaceDE w:val="0"/>
        <w:autoSpaceDN w:val="0"/>
        <w:adjustRightInd w:val="0"/>
        <w:rPr>
          <w:rFonts w:ascii="Arial" w:hAnsi="Arial" w:cs="Arial"/>
          <w:iCs/>
          <w:sz w:val="22"/>
          <w:szCs w:val="22"/>
          <w:lang w:eastAsia="en-GB"/>
        </w:rPr>
      </w:pPr>
    </w:p>
    <w:p w:rsidR="0076795C" w:rsidRPr="0076795C" w:rsidRDefault="0076795C" w:rsidP="0076795C">
      <w:pPr>
        <w:autoSpaceDE w:val="0"/>
        <w:autoSpaceDN w:val="0"/>
        <w:adjustRightInd w:val="0"/>
        <w:rPr>
          <w:rFonts w:ascii="Arial" w:hAnsi="Arial" w:cs="Arial"/>
          <w:b/>
          <w:iCs/>
          <w:sz w:val="22"/>
          <w:szCs w:val="22"/>
          <w:lang w:eastAsia="en-GB"/>
        </w:rPr>
      </w:pPr>
      <w:r w:rsidRPr="0076795C">
        <w:rPr>
          <w:rFonts w:ascii="Arial" w:hAnsi="Arial" w:cs="Arial"/>
          <w:b/>
          <w:iCs/>
          <w:sz w:val="22"/>
          <w:szCs w:val="22"/>
          <w:lang w:eastAsia="en-GB"/>
        </w:rPr>
        <w:t>Scope of the audit of the financial statements</w:t>
      </w:r>
    </w:p>
    <w:p w:rsidR="0076795C" w:rsidRPr="0076795C" w:rsidRDefault="0076795C" w:rsidP="0076795C">
      <w:pPr>
        <w:autoSpaceDE w:val="0"/>
        <w:autoSpaceDN w:val="0"/>
        <w:adjustRightInd w:val="0"/>
        <w:rPr>
          <w:rFonts w:ascii="Arial" w:hAnsi="Arial" w:cs="Arial"/>
          <w:b/>
          <w:iCs/>
          <w:sz w:val="22"/>
          <w:szCs w:val="22"/>
          <w:lang w:eastAsia="en-GB"/>
        </w:rPr>
      </w:pPr>
    </w:p>
    <w:p w:rsidR="0076795C" w:rsidRPr="0076795C" w:rsidRDefault="0076795C" w:rsidP="0076795C">
      <w:pPr>
        <w:autoSpaceDE w:val="0"/>
        <w:autoSpaceDN w:val="0"/>
        <w:adjustRightInd w:val="0"/>
        <w:rPr>
          <w:rFonts w:ascii="Arial" w:hAnsi="Arial" w:cs="Arial"/>
          <w:sz w:val="22"/>
          <w:szCs w:val="22"/>
          <w:lang w:eastAsia="en-GB"/>
        </w:rPr>
      </w:pPr>
      <w:r w:rsidRPr="0076795C">
        <w:rPr>
          <w:rFonts w:ascii="Arial" w:hAnsi="Arial" w:cs="Arial"/>
          <w:sz w:val="22"/>
          <w:szCs w:val="22"/>
          <w:lang w:eastAsia="en-GB"/>
        </w:rPr>
        <w:t xml:space="preserve">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Authority’s circumstances and have been consistently applied and adequately disclosed; the reasonableness of significant accounting estimates made by the Executive Director (Corporate Services) as Chief Financial Officer; and the overall presentation of the financial statements. In addition, we read all the financial and non-financial information in the </w:t>
      </w:r>
      <w:r w:rsidRPr="0076795C">
        <w:rPr>
          <w:rFonts w:ascii="Arial" w:hAnsi="Arial" w:cs="Arial"/>
          <w:i/>
          <w:sz w:val="22"/>
          <w:szCs w:val="22"/>
          <w:lang w:eastAsia="en-GB"/>
        </w:rPr>
        <w:t>Explanatory Foreword and the Statement of Accounts 2013/14</w:t>
      </w:r>
      <w:r w:rsidRPr="0076795C">
        <w:rPr>
          <w:rFonts w:ascii="Arial" w:hAnsi="Arial" w:cs="Arial"/>
          <w:sz w:val="22"/>
          <w:szCs w:val="22"/>
          <w:lang w:eastAsia="en-GB"/>
        </w:rPr>
        <w:t xml:space="preserve"> to identify material inconsistencies with the audited financial statements and to identify any information that is apparently materially incorrect based on, or materially inconsistent with, the knowledge acquired by us in the course of performing the audit. If we become aware of any apparent material misstatements or inconsistencies we consider the implications for our report.</w:t>
      </w:r>
    </w:p>
    <w:p w:rsidR="0076795C" w:rsidRPr="0076795C" w:rsidRDefault="0076795C" w:rsidP="0076795C">
      <w:pPr>
        <w:autoSpaceDE w:val="0"/>
        <w:autoSpaceDN w:val="0"/>
        <w:adjustRightInd w:val="0"/>
        <w:rPr>
          <w:rFonts w:ascii="Arial" w:hAnsi="Arial" w:cs="Arial"/>
          <w:sz w:val="22"/>
          <w:szCs w:val="22"/>
          <w:lang w:eastAsia="en-GB"/>
        </w:rPr>
      </w:pPr>
    </w:p>
    <w:p w:rsidR="0076795C" w:rsidRPr="0076795C" w:rsidRDefault="0076795C" w:rsidP="0076795C">
      <w:pPr>
        <w:autoSpaceDE w:val="0"/>
        <w:autoSpaceDN w:val="0"/>
        <w:adjustRightInd w:val="0"/>
        <w:rPr>
          <w:rFonts w:ascii="Arial" w:hAnsi="Arial" w:cs="Arial"/>
          <w:b/>
          <w:sz w:val="22"/>
          <w:szCs w:val="22"/>
          <w:lang w:eastAsia="en-GB"/>
        </w:rPr>
      </w:pPr>
      <w:r w:rsidRPr="0076795C">
        <w:rPr>
          <w:rFonts w:ascii="Arial" w:hAnsi="Arial" w:cs="Arial"/>
          <w:b/>
          <w:sz w:val="22"/>
          <w:szCs w:val="22"/>
          <w:lang w:eastAsia="en-GB"/>
        </w:rPr>
        <w:t>Opinion on financial statements</w:t>
      </w:r>
    </w:p>
    <w:p w:rsidR="0076795C" w:rsidRPr="0076795C" w:rsidRDefault="0076795C" w:rsidP="0076795C">
      <w:pPr>
        <w:autoSpaceDE w:val="0"/>
        <w:autoSpaceDN w:val="0"/>
        <w:adjustRightInd w:val="0"/>
        <w:rPr>
          <w:rFonts w:ascii="Arial" w:hAnsi="Arial" w:cs="Arial"/>
          <w:b/>
          <w:sz w:val="22"/>
          <w:szCs w:val="22"/>
          <w:lang w:eastAsia="en-GB"/>
        </w:rPr>
      </w:pPr>
    </w:p>
    <w:p w:rsidR="0076795C" w:rsidRPr="0076795C" w:rsidRDefault="0076795C" w:rsidP="0076795C">
      <w:pPr>
        <w:autoSpaceDE w:val="0"/>
        <w:autoSpaceDN w:val="0"/>
        <w:adjustRightInd w:val="0"/>
        <w:rPr>
          <w:rFonts w:ascii="Arial" w:hAnsi="Arial" w:cs="Arial"/>
          <w:sz w:val="22"/>
          <w:szCs w:val="22"/>
          <w:lang w:eastAsia="en-GB"/>
        </w:rPr>
      </w:pPr>
      <w:r w:rsidRPr="0076795C">
        <w:rPr>
          <w:rFonts w:ascii="Arial" w:hAnsi="Arial" w:cs="Arial"/>
          <w:sz w:val="22"/>
          <w:szCs w:val="22"/>
          <w:lang w:eastAsia="en-GB"/>
        </w:rPr>
        <w:t>In our opinion the financial statements:</w:t>
      </w:r>
    </w:p>
    <w:p w:rsidR="0076795C" w:rsidRPr="0076795C" w:rsidRDefault="0076795C" w:rsidP="0076795C">
      <w:pPr>
        <w:numPr>
          <w:ilvl w:val="0"/>
          <w:numId w:val="24"/>
        </w:numPr>
        <w:autoSpaceDE w:val="0"/>
        <w:autoSpaceDN w:val="0"/>
        <w:adjustRightInd w:val="0"/>
        <w:rPr>
          <w:rFonts w:ascii="Arial" w:hAnsi="Arial" w:cs="Arial"/>
          <w:sz w:val="22"/>
          <w:szCs w:val="22"/>
          <w:lang w:eastAsia="en-GB"/>
        </w:rPr>
      </w:pPr>
      <w:r w:rsidRPr="0076795C">
        <w:rPr>
          <w:rFonts w:ascii="Arial" w:hAnsi="Arial" w:cs="Arial"/>
          <w:sz w:val="22"/>
          <w:szCs w:val="22"/>
          <w:lang w:eastAsia="en-GB"/>
        </w:rPr>
        <w:lastRenderedPageBreak/>
        <w:t>give a true and fair view of the financial position of South Cambridgeshire District Council as at 31 March 2014 and of its expenditure and income for the year then ended; and</w:t>
      </w:r>
    </w:p>
    <w:p w:rsidR="0076795C" w:rsidRPr="0076795C" w:rsidRDefault="0076795C" w:rsidP="0076795C">
      <w:pPr>
        <w:numPr>
          <w:ilvl w:val="0"/>
          <w:numId w:val="24"/>
        </w:numPr>
        <w:autoSpaceDE w:val="0"/>
        <w:autoSpaceDN w:val="0"/>
        <w:adjustRightInd w:val="0"/>
        <w:rPr>
          <w:rFonts w:ascii="Arial" w:hAnsi="Arial" w:cs="Arial"/>
          <w:sz w:val="22"/>
          <w:szCs w:val="22"/>
          <w:lang w:eastAsia="en-GB"/>
        </w:rPr>
      </w:pPr>
      <w:proofErr w:type="gramStart"/>
      <w:r w:rsidRPr="0076795C">
        <w:rPr>
          <w:rFonts w:ascii="Arial" w:hAnsi="Arial" w:cs="Arial"/>
          <w:sz w:val="22"/>
          <w:szCs w:val="22"/>
          <w:lang w:eastAsia="en-GB"/>
        </w:rPr>
        <w:t>have</w:t>
      </w:r>
      <w:proofErr w:type="gramEnd"/>
      <w:r w:rsidRPr="0076795C">
        <w:rPr>
          <w:rFonts w:ascii="Arial" w:hAnsi="Arial" w:cs="Arial"/>
          <w:sz w:val="22"/>
          <w:szCs w:val="22"/>
          <w:lang w:eastAsia="en-GB"/>
        </w:rPr>
        <w:t xml:space="preserve"> been prepared properly in accordance with the CIPFA/LASAAC </w:t>
      </w:r>
      <w:r w:rsidRPr="0076795C">
        <w:rPr>
          <w:rFonts w:ascii="Arial" w:hAnsi="Arial" w:cs="Arial"/>
          <w:iCs/>
          <w:sz w:val="22"/>
          <w:szCs w:val="22"/>
          <w:lang w:eastAsia="en-GB"/>
        </w:rPr>
        <w:t>Code of Practice on Local Authority Accounting in the United Kingdom 2013/14.</w:t>
      </w:r>
    </w:p>
    <w:p w:rsidR="0076795C" w:rsidRPr="0076795C" w:rsidRDefault="0076795C" w:rsidP="0076795C">
      <w:pPr>
        <w:autoSpaceDE w:val="0"/>
        <w:autoSpaceDN w:val="0"/>
        <w:adjustRightInd w:val="0"/>
        <w:rPr>
          <w:rFonts w:ascii="Arial" w:hAnsi="Arial" w:cs="Arial"/>
          <w:iCs/>
          <w:sz w:val="22"/>
          <w:szCs w:val="22"/>
          <w:lang w:eastAsia="en-GB"/>
        </w:rPr>
      </w:pPr>
    </w:p>
    <w:p w:rsidR="0076795C" w:rsidRPr="0076795C" w:rsidRDefault="0076795C" w:rsidP="0076795C">
      <w:pPr>
        <w:autoSpaceDE w:val="0"/>
        <w:autoSpaceDN w:val="0"/>
        <w:adjustRightInd w:val="0"/>
        <w:rPr>
          <w:rFonts w:ascii="Arial" w:hAnsi="Arial" w:cs="Arial"/>
          <w:b/>
          <w:iCs/>
          <w:sz w:val="22"/>
          <w:szCs w:val="22"/>
          <w:lang w:eastAsia="en-GB"/>
        </w:rPr>
      </w:pPr>
      <w:r w:rsidRPr="0076795C">
        <w:rPr>
          <w:rFonts w:ascii="Arial" w:hAnsi="Arial" w:cs="Arial"/>
          <w:b/>
          <w:iCs/>
          <w:sz w:val="22"/>
          <w:szCs w:val="22"/>
          <w:lang w:eastAsia="en-GB"/>
        </w:rPr>
        <w:t>Opinion on other matters</w:t>
      </w:r>
    </w:p>
    <w:p w:rsidR="0076795C" w:rsidRPr="0076795C" w:rsidRDefault="0076795C" w:rsidP="0076795C">
      <w:pPr>
        <w:autoSpaceDE w:val="0"/>
        <w:autoSpaceDN w:val="0"/>
        <w:adjustRightInd w:val="0"/>
        <w:rPr>
          <w:rFonts w:ascii="Arial" w:hAnsi="Arial" w:cs="Arial"/>
          <w:b/>
          <w:iCs/>
          <w:sz w:val="22"/>
          <w:szCs w:val="22"/>
          <w:lang w:eastAsia="en-GB"/>
        </w:rPr>
      </w:pPr>
    </w:p>
    <w:p w:rsidR="0076795C" w:rsidRPr="0076795C" w:rsidRDefault="0076795C" w:rsidP="0076795C">
      <w:pPr>
        <w:autoSpaceDE w:val="0"/>
        <w:autoSpaceDN w:val="0"/>
        <w:adjustRightInd w:val="0"/>
        <w:rPr>
          <w:rFonts w:ascii="Arial" w:hAnsi="Arial" w:cs="Arial"/>
          <w:iCs/>
          <w:sz w:val="22"/>
          <w:szCs w:val="22"/>
          <w:lang w:eastAsia="en-GB"/>
        </w:rPr>
      </w:pPr>
      <w:r w:rsidRPr="0076795C">
        <w:rPr>
          <w:rFonts w:ascii="Arial" w:hAnsi="Arial" w:cs="Arial"/>
          <w:iCs/>
          <w:sz w:val="22"/>
          <w:szCs w:val="22"/>
          <w:lang w:eastAsia="en-GB"/>
        </w:rPr>
        <w:t xml:space="preserve">In our opinion, the information given in the </w:t>
      </w:r>
      <w:r w:rsidRPr="0076795C">
        <w:rPr>
          <w:rFonts w:ascii="Arial" w:hAnsi="Arial" w:cs="Arial"/>
          <w:i/>
          <w:iCs/>
          <w:sz w:val="22"/>
          <w:szCs w:val="22"/>
          <w:lang w:eastAsia="en-GB"/>
        </w:rPr>
        <w:t>Explanatory Foreword and the</w:t>
      </w:r>
      <w:r w:rsidRPr="0076795C">
        <w:rPr>
          <w:rFonts w:ascii="Arial" w:hAnsi="Arial" w:cs="Arial"/>
          <w:iCs/>
          <w:sz w:val="22"/>
          <w:szCs w:val="22"/>
          <w:lang w:eastAsia="en-GB"/>
        </w:rPr>
        <w:t xml:space="preserve"> </w:t>
      </w:r>
      <w:r w:rsidRPr="0076795C">
        <w:rPr>
          <w:rFonts w:ascii="Arial" w:hAnsi="Arial" w:cs="Arial"/>
          <w:i/>
          <w:iCs/>
          <w:sz w:val="22"/>
          <w:szCs w:val="22"/>
          <w:lang w:eastAsia="en-GB"/>
        </w:rPr>
        <w:t xml:space="preserve">Statement of Accounts 2013/14 </w:t>
      </w:r>
      <w:r w:rsidRPr="0076795C">
        <w:rPr>
          <w:rFonts w:ascii="Arial" w:hAnsi="Arial" w:cs="Arial"/>
          <w:iCs/>
          <w:sz w:val="22"/>
          <w:szCs w:val="22"/>
          <w:lang w:eastAsia="en-GB"/>
        </w:rPr>
        <w:t>for the financial year for which the financial statements are prepared is consistent with the financial statements.</w:t>
      </w:r>
    </w:p>
    <w:p w:rsidR="0076795C" w:rsidRPr="0076795C" w:rsidRDefault="0076795C" w:rsidP="0076795C">
      <w:pPr>
        <w:autoSpaceDE w:val="0"/>
        <w:autoSpaceDN w:val="0"/>
        <w:adjustRightInd w:val="0"/>
        <w:rPr>
          <w:rFonts w:ascii="Arial" w:hAnsi="Arial" w:cs="Arial"/>
          <w:iCs/>
          <w:sz w:val="22"/>
          <w:szCs w:val="22"/>
          <w:lang w:eastAsia="en-GB"/>
        </w:rPr>
      </w:pPr>
    </w:p>
    <w:p w:rsidR="0076795C" w:rsidRPr="0076795C" w:rsidRDefault="0076795C" w:rsidP="0076795C">
      <w:pPr>
        <w:autoSpaceDE w:val="0"/>
        <w:autoSpaceDN w:val="0"/>
        <w:adjustRightInd w:val="0"/>
        <w:rPr>
          <w:rFonts w:ascii="Arial" w:hAnsi="Arial" w:cs="Arial"/>
          <w:b/>
          <w:iCs/>
          <w:sz w:val="22"/>
          <w:szCs w:val="22"/>
          <w:lang w:eastAsia="en-GB"/>
        </w:rPr>
      </w:pPr>
      <w:r w:rsidRPr="0076795C">
        <w:rPr>
          <w:rFonts w:ascii="Arial" w:hAnsi="Arial" w:cs="Arial"/>
          <w:b/>
          <w:iCs/>
          <w:sz w:val="22"/>
          <w:szCs w:val="22"/>
          <w:lang w:eastAsia="en-GB"/>
        </w:rPr>
        <w:t>Matters on which we report by exception</w:t>
      </w:r>
    </w:p>
    <w:p w:rsidR="0076795C" w:rsidRPr="0076795C" w:rsidRDefault="0076795C" w:rsidP="0076795C">
      <w:pPr>
        <w:autoSpaceDE w:val="0"/>
        <w:autoSpaceDN w:val="0"/>
        <w:adjustRightInd w:val="0"/>
        <w:rPr>
          <w:rFonts w:ascii="Arial" w:hAnsi="Arial" w:cs="Arial"/>
          <w:b/>
          <w:iCs/>
          <w:sz w:val="22"/>
          <w:szCs w:val="22"/>
          <w:lang w:eastAsia="en-GB"/>
        </w:rPr>
      </w:pPr>
    </w:p>
    <w:p w:rsidR="0076795C" w:rsidRPr="0076795C" w:rsidRDefault="0076795C" w:rsidP="0076795C">
      <w:pPr>
        <w:autoSpaceDE w:val="0"/>
        <w:autoSpaceDN w:val="0"/>
        <w:adjustRightInd w:val="0"/>
        <w:rPr>
          <w:rFonts w:ascii="Arial" w:hAnsi="Arial" w:cs="Arial"/>
          <w:iCs/>
          <w:sz w:val="22"/>
          <w:szCs w:val="22"/>
          <w:lang w:eastAsia="en-GB"/>
        </w:rPr>
      </w:pPr>
      <w:r w:rsidRPr="0076795C">
        <w:rPr>
          <w:rFonts w:ascii="Arial" w:hAnsi="Arial" w:cs="Arial"/>
          <w:iCs/>
          <w:sz w:val="22"/>
          <w:szCs w:val="22"/>
          <w:lang w:eastAsia="en-GB"/>
        </w:rPr>
        <w:t>We report to you if:</w:t>
      </w:r>
    </w:p>
    <w:p w:rsidR="0076795C" w:rsidRPr="0076795C" w:rsidRDefault="0076795C" w:rsidP="0076795C">
      <w:pPr>
        <w:numPr>
          <w:ilvl w:val="0"/>
          <w:numId w:val="27"/>
        </w:numPr>
        <w:autoSpaceDE w:val="0"/>
        <w:autoSpaceDN w:val="0"/>
        <w:adjustRightInd w:val="0"/>
        <w:rPr>
          <w:rFonts w:ascii="Arial" w:hAnsi="Arial" w:cs="Arial"/>
          <w:sz w:val="22"/>
          <w:szCs w:val="22"/>
          <w:lang w:eastAsia="en-GB"/>
        </w:rPr>
      </w:pPr>
      <w:r w:rsidRPr="0076795C">
        <w:rPr>
          <w:rFonts w:ascii="Arial" w:hAnsi="Arial" w:cs="Arial"/>
          <w:iCs/>
          <w:sz w:val="22"/>
          <w:szCs w:val="22"/>
          <w:lang w:eastAsia="en-GB"/>
        </w:rPr>
        <w:t>in our opinion</w:t>
      </w:r>
      <w:r w:rsidRPr="0076795C">
        <w:rPr>
          <w:rFonts w:ascii="Arial" w:hAnsi="Arial" w:cs="Arial"/>
          <w:sz w:val="22"/>
          <w:szCs w:val="22"/>
          <w:lang w:eastAsia="en-GB"/>
        </w:rPr>
        <w:t xml:space="preserve"> the annual governance statement does not reflect compliance with ‘Delivering Good Governance in Local Government: a Framework’ published by CIPFA/SOLACE in June 2007 (updated as at December 2012);</w:t>
      </w:r>
    </w:p>
    <w:p w:rsidR="0076795C" w:rsidRPr="0076795C" w:rsidRDefault="0076795C" w:rsidP="0076795C">
      <w:pPr>
        <w:numPr>
          <w:ilvl w:val="0"/>
          <w:numId w:val="27"/>
        </w:numPr>
        <w:autoSpaceDE w:val="0"/>
        <w:autoSpaceDN w:val="0"/>
        <w:adjustRightInd w:val="0"/>
        <w:rPr>
          <w:rFonts w:ascii="Arial" w:hAnsi="Arial" w:cs="Arial"/>
          <w:sz w:val="22"/>
          <w:szCs w:val="22"/>
          <w:lang w:eastAsia="en-GB"/>
        </w:rPr>
      </w:pPr>
      <w:r w:rsidRPr="0076795C">
        <w:rPr>
          <w:rFonts w:ascii="Arial" w:hAnsi="Arial" w:cs="Arial"/>
          <w:sz w:val="22"/>
          <w:szCs w:val="22"/>
          <w:lang w:eastAsia="en-GB"/>
        </w:rPr>
        <w:t>we issue a report in the public interest under section 8 of the Audit Commission Act 1998;</w:t>
      </w:r>
    </w:p>
    <w:p w:rsidR="0076795C" w:rsidRPr="0076795C" w:rsidRDefault="0076795C" w:rsidP="0076795C">
      <w:pPr>
        <w:numPr>
          <w:ilvl w:val="0"/>
          <w:numId w:val="27"/>
        </w:numPr>
        <w:autoSpaceDE w:val="0"/>
        <w:autoSpaceDN w:val="0"/>
        <w:adjustRightInd w:val="0"/>
        <w:rPr>
          <w:rFonts w:ascii="Arial" w:hAnsi="Arial" w:cs="Arial"/>
          <w:sz w:val="22"/>
          <w:szCs w:val="22"/>
          <w:lang w:eastAsia="en-GB"/>
        </w:rPr>
      </w:pPr>
      <w:r w:rsidRPr="0076795C">
        <w:rPr>
          <w:rFonts w:ascii="Arial" w:hAnsi="Arial" w:cs="Arial"/>
          <w:sz w:val="22"/>
          <w:szCs w:val="22"/>
          <w:lang w:eastAsia="en-GB"/>
        </w:rPr>
        <w:t>we designate under section 11 of the Audit Commission Act 1998 any recommendation as one that requires the Authority to consider it at a public meeting and to decide what action to take in response; or</w:t>
      </w:r>
    </w:p>
    <w:p w:rsidR="0076795C" w:rsidRPr="0076795C" w:rsidRDefault="0076795C" w:rsidP="0076795C">
      <w:pPr>
        <w:numPr>
          <w:ilvl w:val="0"/>
          <w:numId w:val="27"/>
        </w:numPr>
        <w:autoSpaceDE w:val="0"/>
        <w:autoSpaceDN w:val="0"/>
        <w:adjustRightInd w:val="0"/>
        <w:rPr>
          <w:rFonts w:ascii="Arial" w:hAnsi="Arial" w:cs="Arial"/>
          <w:sz w:val="22"/>
          <w:szCs w:val="22"/>
          <w:lang w:eastAsia="en-GB"/>
        </w:rPr>
      </w:pPr>
      <w:proofErr w:type="gramStart"/>
      <w:r w:rsidRPr="0076795C">
        <w:rPr>
          <w:rFonts w:ascii="Arial" w:hAnsi="Arial" w:cs="Arial"/>
          <w:sz w:val="22"/>
          <w:szCs w:val="22"/>
          <w:lang w:eastAsia="en-GB"/>
        </w:rPr>
        <w:t>we</w:t>
      </w:r>
      <w:proofErr w:type="gramEnd"/>
      <w:r w:rsidRPr="0076795C">
        <w:rPr>
          <w:rFonts w:ascii="Arial" w:hAnsi="Arial" w:cs="Arial"/>
          <w:sz w:val="22"/>
          <w:szCs w:val="22"/>
          <w:lang w:eastAsia="en-GB"/>
        </w:rPr>
        <w:t xml:space="preserve"> exercise any other special powers of the auditor under the Audit Commission Act 1998.</w:t>
      </w:r>
    </w:p>
    <w:p w:rsidR="0076795C" w:rsidRPr="0076795C" w:rsidRDefault="0076795C" w:rsidP="0076795C">
      <w:pPr>
        <w:autoSpaceDE w:val="0"/>
        <w:autoSpaceDN w:val="0"/>
        <w:adjustRightInd w:val="0"/>
        <w:ind w:left="360"/>
        <w:rPr>
          <w:rFonts w:ascii="Arial" w:hAnsi="Arial" w:cs="Arial"/>
          <w:sz w:val="22"/>
          <w:szCs w:val="22"/>
          <w:lang w:eastAsia="en-GB"/>
        </w:rPr>
      </w:pPr>
    </w:p>
    <w:p w:rsidR="0076795C" w:rsidRPr="0076795C" w:rsidRDefault="0076795C" w:rsidP="0076795C">
      <w:pPr>
        <w:autoSpaceDE w:val="0"/>
        <w:autoSpaceDN w:val="0"/>
        <w:adjustRightInd w:val="0"/>
        <w:rPr>
          <w:rFonts w:ascii="Arial" w:hAnsi="Arial" w:cs="Arial"/>
          <w:sz w:val="22"/>
          <w:szCs w:val="22"/>
          <w:lang w:eastAsia="en-GB"/>
        </w:rPr>
      </w:pPr>
      <w:r w:rsidRPr="0076795C">
        <w:rPr>
          <w:rFonts w:ascii="Arial" w:hAnsi="Arial" w:cs="Arial"/>
          <w:iCs/>
          <w:sz w:val="22"/>
          <w:szCs w:val="22"/>
          <w:lang w:eastAsia="en-GB"/>
        </w:rPr>
        <w:t>We have nothing to report in these respects.</w:t>
      </w:r>
    </w:p>
    <w:p w:rsidR="0076795C" w:rsidRPr="0076795C" w:rsidRDefault="0076795C" w:rsidP="0076795C">
      <w:pPr>
        <w:rPr>
          <w:rFonts w:ascii="Arial" w:hAnsi="Arial" w:cs="Arial"/>
          <w:b/>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b/>
          <w:bCs/>
          <w:sz w:val="22"/>
          <w:szCs w:val="22"/>
          <w:lang w:eastAsia="en-GB"/>
        </w:rPr>
        <w:t>Conclusion on the Authority’s arrangements for securing economy, efficiency and effectiveness in the use of resources</w:t>
      </w:r>
    </w:p>
    <w:p w:rsidR="0076795C" w:rsidRPr="0076795C" w:rsidRDefault="0076795C" w:rsidP="0076795C">
      <w:pPr>
        <w:autoSpaceDN w:val="0"/>
        <w:rPr>
          <w:rFonts w:ascii="Arial" w:hAnsi="Arial" w:cs="Arial"/>
          <w:b/>
          <w:iCs/>
          <w:sz w:val="22"/>
          <w:szCs w:val="22"/>
          <w:lang w:eastAsia="en-GB"/>
        </w:rPr>
      </w:pPr>
    </w:p>
    <w:p w:rsidR="0076795C" w:rsidRPr="0076795C" w:rsidRDefault="0076795C" w:rsidP="0076795C">
      <w:pPr>
        <w:autoSpaceDN w:val="0"/>
        <w:rPr>
          <w:rFonts w:ascii="Arial" w:hAnsi="Arial" w:cs="Arial"/>
          <w:b/>
          <w:iCs/>
          <w:sz w:val="22"/>
          <w:szCs w:val="22"/>
          <w:lang w:eastAsia="en-GB"/>
        </w:rPr>
      </w:pPr>
      <w:r w:rsidRPr="0076795C">
        <w:rPr>
          <w:rFonts w:ascii="Arial" w:hAnsi="Arial" w:cs="Arial"/>
          <w:b/>
          <w:iCs/>
          <w:sz w:val="22"/>
          <w:szCs w:val="22"/>
          <w:lang w:eastAsia="en-GB"/>
        </w:rPr>
        <w:t>Respective responsibilities of the Authority and the auditor</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The Authority is responsible for putting in place proper arrangements to secure economy, efficiency and effectiveness in its use of resources, to ensure proper stewardship and governance, and to review regularly the adequacy and effectiveness of these arrangements.</w:t>
      </w:r>
    </w:p>
    <w:p w:rsidR="0076795C" w:rsidRPr="0076795C" w:rsidRDefault="0076795C" w:rsidP="0076795C">
      <w:pPr>
        <w:autoSpaceDN w:val="0"/>
        <w:rPr>
          <w:rFonts w:ascii="Arial" w:hAnsi="Arial" w:cs="Arial"/>
          <w:b/>
          <w:i/>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We are required under Section 5 of the Audit Commission Act 1998 to satisfy ourselves that the Authority has made proper arrangements for securing economy, efficiency and effectiveness in its use of resources. The Code of Audit Practice issued by the Audit Commission requires us to report to you our conclusion relating to proper arrangements, having regard to relevant criteria specified by the Audit Commission.</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We report if significant matters have come to our attention which prevent us from concluding that the Authority has put in place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N w:val="0"/>
        <w:rPr>
          <w:rFonts w:ascii="Arial" w:hAnsi="Arial" w:cs="Arial"/>
          <w:b/>
          <w:iCs/>
          <w:sz w:val="22"/>
          <w:szCs w:val="22"/>
          <w:lang w:eastAsia="en-GB"/>
        </w:rPr>
      </w:pPr>
      <w:r w:rsidRPr="0076795C">
        <w:rPr>
          <w:rFonts w:ascii="Arial" w:hAnsi="Arial" w:cs="Arial"/>
          <w:b/>
          <w:iCs/>
          <w:sz w:val="22"/>
          <w:szCs w:val="22"/>
          <w:lang w:eastAsia="en-GB"/>
        </w:rPr>
        <w:t>Scope of the review of arrangements for securing economy, efficiency and effectiveness in the use of resources</w:t>
      </w:r>
    </w:p>
    <w:p w:rsidR="0076795C" w:rsidRPr="0076795C" w:rsidRDefault="0076795C" w:rsidP="0076795C">
      <w:pPr>
        <w:autoSpaceDN w:val="0"/>
        <w:rPr>
          <w:rFonts w:ascii="Arial" w:hAnsi="Arial" w:cs="Arial"/>
          <w:b/>
          <w:i/>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We have undertaken our audit in accordance with the Code of Audit Practice, having regard to the guidance on the specified criteria, published by the Audit Commission in October 2013, as to whether the Authority has proper arrangements for:</w:t>
      </w:r>
    </w:p>
    <w:p w:rsidR="0076795C" w:rsidRPr="0076795C" w:rsidRDefault="0076795C" w:rsidP="0076795C">
      <w:pPr>
        <w:numPr>
          <w:ilvl w:val="0"/>
          <w:numId w:val="24"/>
        </w:numPr>
        <w:autoSpaceDE w:val="0"/>
        <w:autoSpaceDN w:val="0"/>
        <w:adjustRightInd w:val="0"/>
        <w:rPr>
          <w:rFonts w:ascii="Arial" w:hAnsi="Arial" w:cs="Arial"/>
          <w:sz w:val="22"/>
          <w:szCs w:val="22"/>
          <w:lang w:eastAsia="en-GB"/>
        </w:rPr>
      </w:pPr>
      <w:r w:rsidRPr="0076795C">
        <w:rPr>
          <w:rFonts w:ascii="Arial" w:hAnsi="Arial" w:cs="Arial"/>
          <w:sz w:val="22"/>
          <w:szCs w:val="22"/>
          <w:lang w:eastAsia="en-GB"/>
        </w:rPr>
        <w:lastRenderedPageBreak/>
        <w:t>securing financial resilience; and</w:t>
      </w:r>
    </w:p>
    <w:p w:rsidR="0076795C" w:rsidRPr="0076795C" w:rsidRDefault="0076795C" w:rsidP="0076795C">
      <w:pPr>
        <w:numPr>
          <w:ilvl w:val="0"/>
          <w:numId w:val="24"/>
        </w:numPr>
        <w:autoSpaceDE w:val="0"/>
        <w:autoSpaceDN w:val="0"/>
        <w:adjustRightInd w:val="0"/>
        <w:rPr>
          <w:rFonts w:ascii="Arial" w:hAnsi="Arial" w:cs="Arial"/>
          <w:sz w:val="22"/>
          <w:szCs w:val="22"/>
          <w:lang w:eastAsia="en-GB"/>
        </w:rPr>
      </w:pPr>
      <w:proofErr w:type="gramStart"/>
      <w:r w:rsidRPr="0076795C">
        <w:rPr>
          <w:rFonts w:ascii="Arial" w:hAnsi="Arial" w:cs="Arial"/>
          <w:sz w:val="22"/>
          <w:szCs w:val="22"/>
          <w:lang w:eastAsia="en-GB"/>
        </w:rPr>
        <w:t>challenging</w:t>
      </w:r>
      <w:proofErr w:type="gramEnd"/>
      <w:r w:rsidRPr="0076795C">
        <w:rPr>
          <w:rFonts w:ascii="Arial" w:hAnsi="Arial" w:cs="Arial"/>
          <w:sz w:val="22"/>
          <w:szCs w:val="22"/>
          <w:lang w:eastAsia="en-GB"/>
        </w:rPr>
        <w:t xml:space="preserve"> how it secures economy, efficiency and effectiveness.</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The Audit Commission has determined these two criteria as those necessary for us to consider under the Code of Audit Practice in satisfying ourselves whether the Authority put in place proper arrangements for securing economy, efficiency and effectiveness in its use of resources for the year ended 31 March 2014.</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We planned our work in accordance with the Code of Audit Practice. Based on our risk assessment, we undertook such work as we considered necessary to form a view on whether, in all significant respects, the Authority had put in place proper arrangements to secure economy, efficiency and effectiveness in its use of resources.</w:t>
      </w:r>
    </w:p>
    <w:p w:rsidR="0076795C" w:rsidRPr="0076795C" w:rsidRDefault="0076795C" w:rsidP="0076795C">
      <w:pPr>
        <w:autoSpaceDN w:val="0"/>
        <w:rPr>
          <w:rFonts w:ascii="Arial" w:hAnsi="Arial" w:cs="Arial"/>
          <w:b/>
          <w:iCs/>
          <w:sz w:val="22"/>
          <w:szCs w:val="22"/>
          <w:lang w:eastAsia="en-GB"/>
        </w:rPr>
      </w:pPr>
    </w:p>
    <w:p w:rsidR="0076795C" w:rsidRPr="0076795C" w:rsidRDefault="0076795C" w:rsidP="0076795C">
      <w:pPr>
        <w:autoSpaceDN w:val="0"/>
        <w:rPr>
          <w:rFonts w:ascii="Arial" w:hAnsi="Arial" w:cs="Arial"/>
          <w:b/>
          <w:i/>
          <w:sz w:val="22"/>
          <w:szCs w:val="22"/>
          <w:lang w:eastAsia="en-GB"/>
        </w:rPr>
      </w:pPr>
      <w:r w:rsidRPr="0076795C">
        <w:rPr>
          <w:rFonts w:ascii="Arial" w:hAnsi="Arial" w:cs="Arial"/>
          <w:b/>
          <w:iCs/>
          <w:sz w:val="22"/>
          <w:szCs w:val="22"/>
          <w:lang w:eastAsia="en-GB"/>
        </w:rPr>
        <w:t>Conclusion</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N w:val="0"/>
        <w:rPr>
          <w:rFonts w:ascii="Arial" w:hAnsi="Arial" w:cs="Arial"/>
          <w:sz w:val="22"/>
          <w:szCs w:val="22"/>
          <w:lang w:eastAsia="en-GB"/>
        </w:rPr>
      </w:pPr>
      <w:r w:rsidRPr="0076795C">
        <w:rPr>
          <w:rFonts w:ascii="Arial" w:hAnsi="Arial" w:cs="Arial"/>
          <w:sz w:val="22"/>
          <w:szCs w:val="22"/>
          <w:lang w:eastAsia="en-GB"/>
        </w:rPr>
        <w:t xml:space="preserve">On the basis of our work, having regard to the guidance on the specified criteria published by the Audit Commission in October 2013, we are satisfied that, in all significant respects, </w:t>
      </w:r>
      <w:r w:rsidRPr="0076795C">
        <w:rPr>
          <w:rFonts w:ascii="Arial" w:hAnsi="Arial" w:cs="Arial"/>
          <w:iCs/>
          <w:sz w:val="22"/>
          <w:szCs w:val="22"/>
          <w:lang w:eastAsia="en-GB"/>
        </w:rPr>
        <w:t>South Cambridgeshire District Council</w:t>
      </w:r>
      <w:r w:rsidRPr="0076795C">
        <w:rPr>
          <w:rFonts w:ascii="Arial" w:hAnsi="Arial" w:cs="Arial"/>
          <w:sz w:val="22"/>
          <w:szCs w:val="22"/>
          <w:lang w:eastAsia="en-GB"/>
        </w:rPr>
        <w:t xml:space="preserve"> put in place proper arrangements to secure economy, efficiency and effectiveness in its use of resources for the year ended 31 March 2014.</w:t>
      </w:r>
    </w:p>
    <w:p w:rsidR="0076795C" w:rsidRPr="0076795C" w:rsidRDefault="0076795C" w:rsidP="0076795C">
      <w:pPr>
        <w:autoSpaceDN w:val="0"/>
        <w:rPr>
          <w:rFonts w:ascii="Arial" w:hAnsi="Arial" w:cs="Arial"/>
          <w:sz w:val="22"/>
          <w:szCs w:val="22"/>
          <w:lang w:eastAsia="en-GB"/>
        </w:rPr>
      </w:pPr>
    </w:p>
    <w:p w:rsidR="0076795C" w:rsidRPr="0076795C" w:rsidRDefault="0076795C" w:rsidP="0076795C">
      <w:pPr>
        <w:autoSpaceDE w:val="0"/>
        <w:autoSpaceDN w:val="0"/>
        <w:adjustRightInd w:val="0"/>
        <w:rPr>
          <w:rFonts w:ascii="Arial" w:hAnsi="Arial" w:cs="Arial"/>
          <w:b/>
          <w:sz w:val="22"/>
          <w:szCs w:val="22"/>
          <w:lang w:eastAsia="en-GB"/>
        </w:rPr>
      </w:pPr>
      <w:r w:rsidRPr="0076795C">
        <w:rPr>
          <w:rFonts w:ascii="Arial" w:hAnsi="Arial" w:cs="Arial"/>
          <w:b/>
          <w:sz w:val="22"/>
          <w:szCs w:val="22"/>
          <w:lang w:eastAsia="en-GB"/>
        </w:rPr>
        <w:t>Certificate</w:t>
      </w:r>
    </w:p>
    <w:p w:rsidR="0076795C" w:rsidRPr="0076795C" w:rsidRDefault="0076795C" w:rsidP="0076795C">
      <w:pPr>
        <w:autoSpaceDE w:val="0"/>
        <w:autoSpaceDN w:val="0"/>
        <w:adjustRightInd w:val="0"/>
        <w:rPr>
          <w:rFonts w:ascii="Arial" w:hAnsi="Arial" w:cs="Arial"/>
          <w:b/>
          <w:sz w:val="22"/>
          <w:szCs w:val="22"/>
          <w:lang w:eastAsia="en-GB"/>
        </w:rPr>
      </w:pPr>
    </w:p>
    <w:p w:rsidR="0076795C" w:rsidRPr="0076795C" w:rsidRDefault="0076795C" w:rsidP="0076795C">
      <w:pPr>
        <w:autoSpaceDE w:val="0"/>
        <w:autoSpaceDN w:val="0"/>
        <w:adjustRightInd w:val="0"/>
        <w:rPr>
          <w:rFonts w:ascii="Arial" w:hAnsi="Arial" w:cs="Arial"/>
          <w:sz w:val="22"/>
          <w:szCs w:val="22"/>
          <w:lang w:eastAsia="en-GB"/>
        </w:rPr>
      </w:pPr>
      <w:r w:rsidRPr="0076795C">
        <w:rPr>
          <w:rFonts w:ascii="Arial" w:hAnsi="Arial" w:cs="Arial"/>
          <w:sz w:val="22"/>
          <w:szCs w:val="22"/>
          <w:lang w:eastAsia="en-GB"/>
        </w:rPr>
        <w:t>We certify that we have completed the audit of the accounts of South Cambridgeshire District Council in accordance with the requirements of the Audit Commission Act 1998 and the Code of Audit Practice issued by the Audit Commission.</w:t>
      </w:r>
    </w:p>
    <w:p w:rsidR="0076795C" w:rsidRPr="0076795C" w:rsidRDefault="0076795C" w:rsidP="0076795C">
      <w:pPr>
        <w:autoSpaceDN w:val="0"/>
        <w:rPr>
          <w:rFonts w:ascii="Arial" w:hAnsi="Arial" w:cs="Arial"/>
          <w:sz w:val="24"/>
          <w:szCs w:val="24"/>
          <w:lang w:eastAsia="en-GB"/>
        </w:rPr>
      </w:pPr>
    </w:p>
    <w:p w:rsidR="0076795C" w:rsidRPr="0076795C" w:rsidRDefault="0076795C" w:rsidP="0076795C">
      <w:pPr>
        <w:autoSpaceDE w:val="0"/>
        <w:autoSpaceDN w:val="0"/>
        <w:adjustRightInd w:val="0"/>
        <w:rPr>
          <w:rFonts w:ascii="Arial" w:hAnsi="Arial" w:cs="Arial"/>
          <w:sz w:val="22"/>
          <w:szCs w:val="22"/>
          <w:lang w:eastAsia="en-GB"/>
        </w:rPr>
      </w:pPr>
    </w:p>
    <w:p w:rsidR="0076795C" w:rsidRPr="0076795C" w:rsidRDefault="0076795C" w:rsidP="0076795C">
      <w:pPr>
        <w:autoSpaceDE w:val="0"/>
        <w:autoSpaceDN w:val="0"/>
        <w:adjustRightInd w:val="0"/>
        <w:rPr>
          <w:rFonts w:ascii="Arial" w:hAnsi="Arial" w:cs="Arial"/>
          <w:sz w:val="22"/>
          <w:szCs w:val="22"/>
          <w:lang w:eastAsia="en-GB"/>
        </w:rPr>
      </w:pPr>
    </w:p>
    <w:p w:rsidR="0076795C" w:rsidRPr="0076795C" w:rsidRDefault="0076795C" w:rsidP="0076795C">
      <w:pPr>
        <w:rPr>
          <w:rFonts w:ascii="Arial" w:hAnsi="Arial" w:cs="Calibri"/>
          <w:i/>
          <w:sz w:val="22"/>
          <w:szCs w:val="22"/>
          <w:lang w:eastAsia="en-GB"/>
        </w:rPr>
      </w:pPr>
      <w:r w:rsidRPr="0076795C">
        <w:rPr>
          <w:rFonts w:ascii="Arial" w:eastAsia="Swiss721BT-Italic" w:hAnsi="Arial" w:cs="Calibri"/>
          <w:i/>
          <w:iCs/>
          <w:sz w:val="22"/>
          <w:szCs w:val="22"/>
          <w:lang w:eastAsia="en-GB"/>
        </w:rPr>
        <w:t>…………………………………</w:t>
      </w:r>
      <w:r w:rsidRPr="0076795C">
        <w:rPr>
          <w:rFonts w:ascii="Arial" w:eastAsia="Swiss721BT-Italic" w:hAnsi="Arial" w:cs="Calibri"/>
          <w:i/>
          <w:iCs/>
          <w:sz w:val="22"/>
          <w:szCs w:val="22"/>
          <w:lang w:eastAsia="en-GB"/>
        </w:rPr>
        <w:tab/>
      </w:r>
      <w:r w:rsidRPr="0076795C">
        <w:rPr>
          <w:rFonts w:ascii="Arial" w:eastAsia="Swiss721BT-Italic" w:hAnsi="Arial" w:cs="Calibri"/>
          <w:i/>
          <w:iCs/>
          <w:sz w:val="22"/>
          <w:szCs w:val="22"/>
          <w:lang w:eastAsia="en-GB"/>
        </w:rPr>
        <w:tab/>
      </w:r>
      <w:r w:rsidRPr="0076795C">
        <w:rPr>
          <w:rFonts w:ascii="Arial" w:eastAsia="Swiss721BT-Italic" w:hAnsi="Arial" w:cs="Calibri"/>
          <w:i/>
          <w:iCs/>
          <w:sz w:val="22"/>
          <w:szCs w:val="22"/>
          <w:lang w:eastAsia="en-GB"/>
        </w:rPr>
        <w:tab/>
      </w:r>
      <w:r w:rsidRPr="0076795C">
        <w:rPr>
          <w:rFonts w:ascii="Arial" w:eastAsia="Swiss721BT-Italic" w:hAnsi="Arial" w:cs="Calibri"/>
          <w:i/>
          <w:iCs/>
          <w:sz w:val="22"/>
          <w:szCs w:val="22"/>
          <w:lang w:eastAsia="en-GB"/>
        </w:rPr>
        <w:tab/>
      </w:r>
      <w:r w:rsidRPr="0076795C">
        <w:rPr>
          <w:rFonts w:ascii="Arial" w:hAnsi="Arial" w:cs="Calibri"/>
          <w:i/>
          <w:sz w:val="22"/>
          <w:szCs w:val="22"/>
          <w:lang w:eastAsia="en-GB"/>
        </w:rPr>
        <w:t>Date</w:t>
      </w:r>
      <w:proofErr w:type="gramStart"/>
      <w:r w:rsidRPr="0076795C">
        <w:rPr>
          <w:rFonts w:ascii="Arial" w:hAnsi="Arial" w:cs="Calibri"/>
          <w:i/>
          <w:sz w:val="22"/>
          <w:szCs w:val="22"/>
          <w:lang w:eastAsia="en-GB"/>
        </w:rPr>
        <w:t>:………………………….</w:t>
      </w:r>
      <w:proofErr w:type="gramEnd"/>
    </w:p>
    <w:p w:rsidR="0076795C" w:rsidRPr="0076795C" w:rsidRDefault="0076795C" w:rsidP="0076795C">
      <w:pPr>
        <w:rPr>
          <w:rFonts w:ascii="Arial" w:eastAsia="Swiss721BT-Italic" w:hAnsi="Arial" w:cs="Calibri"/>
          <w:i/>
          <w:iCs/>
          <w:sz w:val="22"/>
          <w:szCs w:val="22"/>
          <w:lang w:eastAsia="en-GB"/>
        </w:rPr>
      </w:pPr>
    </w:p>
    <w:p w:rsidR="0076795C" w:rsidRPr="0076795C" w:rsidRDefault="0076795C" w:rsidP="0076795C">
      <w:pPr>
        <w:rPr>
          <w:rFonts w:ascii="Arial" w:eastAsia="Swiss721BT-Italic" w:hAnsi="Arial" w:cs="Calibri"/>
          <w:i/>
          <w:iCs/>
          <w:sz w:val="22"/>
          <w:szCs w:val="22"/>
          <w:lang w:eastAsia="en-GB"/>
        </w:rPr>
      </w:pPr>
      <w:r w:rsidRPr="0076795C">
        <w:rPr>
          <w:rFonts w:ascii="Arial" w:eastAsia="Swiss721BT-Italic" w:hAnsi="Arial" w:cs="Calibri"/>
          <w:i/>
          <w:iCs/>
          <w:sz w:val="22"/>
          <w:szCs w:val="22"/>
          <w:lang w:eastAsia="en-GB"/>
        </w:rPr>
        <w:t>Mark Hodgson</w:t>
      </w:r>
    </w:p>
    <w:p w:rsidR="0076795C" w:rsidRPr="0076795C" w:rsidRDefault="0076795C" w:rsidP="0076795C">
      <w:pPr>
        <w:rPr>
          <w:rFonts w:ascii="Arial" w:eastAsia="Swiss721BT-Italic" w:hAnsi="Arial" w:cs="Calibri"/>
          <w:i/>
          <w:iCs/>
          <w:sz w:val="22"/>
          <w:szCs w:val="22"/>
          <w:lang w:eastAsia="en-GB"/>
        </w:rPr>
      </w:pPr>
      <w:proofErr w:type="gramStart"/>
      <w:r w:rsidRPr="0076795C">
        <w:rPr>
          <w:rFonts w:ascii="Arial" w:eastAsia="Swiss721BT-Italic" w:hAnsi="Arial" w:cs="Calibri"/>
          <w:i/>
          <w:iCs/>
          <w:sz w:val="22"/>
          <w:szCs w:val="22"/>
          <w:lang w:eastAsia="en-GB"/>
        </w:rPr>
        <w:t>for</w:t>
      </w:r>
      <w:proofErr w:type="gramEnd"/>
      <w:r w:rsidRPr="0076795C">
        <w:rPr>
          <w:rFonts w:ascii="Arial" w:eastAsia="Swiss721BT-Italic" w:hAnsi="Arial" w:cs="Calibri"/>
          <w:i/>
          <w:iCs/>
          <w:sz w:val="22"/>
          <w:szCs w:val="22"/>
          <w:lang w:eastAsia="en-GB"/>
        </w:rPr>
        <w:t xml:space="preserve"> and on behalf of Ernst &amp; Young LLP, Appointed Auditor</w:t>
      </w:r>
    </w:p>
    <w:p w:rsidR="0076795C" w:rsidRPr="0076795C" w:rsidRDefault="0076795C" w:rsidP="0076795C">
      <w:pPr>
        <w:rPr>
          <w:rFonts w:ascii="Arial" w:eastAsia="Calibri" w:hAnsi="Arial" w:cs="Calibri"/>
          <w:i/>
          <w:sz w:val="22"/>
          <w:szCs w:val="22"/>
          <w:lang w:eastAsia="en-GB"/>
        </w:rPr>
      </w:pPr>
      <w:r w:rsidRPr="0076795C">
        <w:rPr>
          <w:rFonts w:ascii="Arial" w:hAnsi="Arial" w:cs="Calibri"/>
          <w:i/>
          <w:sz w:val="22"/>
          <w:szCs w:val="22"/>
          <w:lang w:eastAsia="en-GB"/>
        </w:rPr>
        <w:t>Cambridge</w:t>
      </w:r>
    </w:p>
    <w:p w:rsidR="0035019E" w:rsidRPr="0035019E" w:rsidRDefault="0035019E" w:rsidP="0035019E">
      <w:pPr>
        <w:rPr>
          <w:rFonts w:ascii="Arial" w:hAnsi="Arial" w:cs="Arial"/>
          <w:b/>
          <w:sz w:val="22"/>
          <w:szCs w:val="22"/>
        </w:rPr>
      </w:pPr>
    </w:p>
    <w:p w:rsidR="00F23FFF" w:rsidRDefault="00F23FFF">
      <w:pPr>
        <w:ind w:left="284"/>
        <w:jc w:val="both"/>
        <w:rPr>
          <w:rFonts w:ascii="Arial" w:hAnsi="Arial"/>
          <w:b/>
          <w:sz w:val="22"/>
          <w:szCs w:val="24"/>
          <w:lang w:eastAsia="en-GB"/>
        </w:rPr>
      </w:pPr>
    </w:p>
    <w:p w:rsidR="0043745C" w:rsidRDefault="0043745C">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343B89" w:rsidRDefault="00343B89">
      <w:pPr>
        <w:ind w:left="284"/>
        <w:jc w:val="both"/>
        <w:rPr>
          <w:rFonts w:ascii="Arial" w:hAnsi="Arial"/>
          <w:b/>
          <w:sz w:val="22"/>
          <w:szCs w:val="24"/>
          <w:lang w:eastAsia="en-GB"/>
        </w:rPr>
      </w:pPr>
    </w:p>
    <w:p w:rsidR="00F23FFF" w:rsidRDefault="00F23FFF">
      <w:pPr>
        <w:autoSpaceDE w:val="0"/>
        <w:autoSpaceDN w:val="0"/>
        <w:adjustRightInd w:val="0"/>
        <w:rPr>
          <w:b/>
          <w:bCs/>
          <w:color w:val="000000"/>
        </w:rPr>
        <w:sectPr w:rsidR="00F23FFF" w:rsidSect="00AE04B8">
          <w:headerReference w:type="default" r:id="rId24"/>
          <w:footerReference w:type="even" r:id="rId25"/>
          <w:footerReference w:type="default" r:id="rId26"/>
          <w:headerReference w:type="first" r:id="rId27"/>
          <w:pgSz w:w="11907" w:h="16840" w:code="9"/>
          <w:pgMar w:top="1440" w:right="1418" w:bottom="1134" w:left="1418" w:header="709" w:footer="709" w:gutter="0"/>
          <w:pgNumType w:start="1"/>
          <w:cols w:space="720"/>
        </w:sectPr>
      </w:pPr>
    </w:p>
    <w:p w:rsidR="00E84279" w:rsidRDefault="00E84279">
      <w:pPr>
        <w:pStyle w:val="BodyTextIndent3"/>
        <w:ind w:left="0" w:right="-822"/>
        <w:jc w:val="left"/>
        <w:rPr>
          <w:rFonts w:ascii="Arial" w:hAnsi="Arial" w:cs="Arial"/>
          <w:color w:val="000080"/>
          <w:sz w:val="22"/>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pPr>
        <w:pStyle w:val="xl50"/>
        <w:spacing w:before="0" w:beforeAutospacing="0" w:after="0" w:afterAutospacing="0"/>
        <w:rPr>
          <w:rFonts w:eastAsia="Times New Roman"/>
          <w:sz w:val="32"/>
          <w:szCs w:val="20"/>
        </w:rPr>
      </w:pPr>
    </w:p>
    <w:p w:rsidR="000E1B41" w:rsidRDefault="000E1B41" w:rsidP="000E1B41">
      <w:pPr>
        <w:pStyle w:val="BodyTextIndent3"/>
        <w:ind w:left="0" w:right="-822"/>
        <w:jc w:val="left"/>
        <w:rPr>
          <w:rFonts w:ascii="Arial" w:hAnsi="Arial" w:cs="Arial"/>
          <w:b/>
          <w:bCs/>
          <w:color w:val="000080"/>
          <w:sz w:val="48"/>
        </w:rPr>
      </w:pPr>
      <w:r>
        <w:rPr>
          <w:rFonts w:ascii="Arial" w:hAnsi="Arial" w:cs="Arial"/>
          <w:b/>
          <w:bCs/>
          <w:color w:val="000080"/>
          <w:sz w:val="48"/>
        </w:rPr>
        <w:t>Main Financial Statements</w:t>
      </w: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ind w:left="0" w:right="-822"/>
        <w:jc w:val="left"/>
        <w:rPr>
          <w:rFonts w:ascii="Arial" w:hAnsi="Arial" w:cs="Arial"/>
          <w:color w:val="000080"/>
          <w:sz w:val="22"/>
        </w:rPr>
      </w:pPr>
    </w:p>
    <w:p w:rsidR="000E1B41" w:rsidRDefault="000E1B41" w:rsidP="000E1B41">
      <w:pPr>
        <w:pStyle w:val="BodyTextIndent3"/>
        <w:numPr>
          <w:ilvl w:val="0"/>
          <w:numId w:val="10"/>
        </w:numPr>
        <w:ind w:right="-822"/>
        <w:jc w:val="left"/>
        <w:rPr>
          <w:rFonts w:ascii="Arial" w:hAnsi="Arial" w:cs="Arial"/>
          <w:color w:val="000080"/>
          <w:sz w:val="32"/>
        </w:rPr>
      </w:pPr>
      <w:r>
        <w:rPr>
          <w:rFonts w:ascii="Arial" w:hAnsi="Arial" w:cs="Arial"/>
          <w:color w:val="000080"/>
          <w:sz w:val="32"/>
        </w:rPr>
        <w:t xml:space="preserve">Movement in Reserves Statement </w:t>
      </w:r>
    </w:p>
    <w:p w:rsidR="000E1B41" w:rsidRDefault="000E1B41" w:rsidP="000E1B41">
      <w:pPr>
        <w:pStyle w:val="BodyTextIndent3"/>
        <w:ind w:left="360" w:right="-822"/>
        <w:jc w:val="left"/>
        <w:rPr>
          <w:rFonts w:ascii="Arial" w:hAnsi="Arial" w:cs="Arial"/>
          <w:color w:val="000080"/>
          <w:sz w:val="32"/>
        </w:rPr>
      </w:pPr>
    </w:p>
    <w:p w:rsidR="000E1B41" w:rsidRDefault="000E1B41" w:rsidP="000E1B41">
      <w:pPr>
        <w:pStyle w:val="BodyTextIndent3"/>
        <w:numPr>
          <w:ilvl w:val="0"/>
          <w:numId w:val="10"/>
        </w:numPr>
        <w:ind w:right="-822"/>
        <w:jc w:val="left"/>
        <w:rPr>
          <w:rFonts w:ascii="Arial" w:hAnsi="Arial" w:cs="Arial"/>
          <w:color w:val="000080"/>
          <w:sz w:val="32"/>
        </w:rPr>
      </w:pPr>
      <w:r>
        <w:rPr>
          <w:rFonts w:ascii="Arial" w:hAnsi="Arial" w:cs="Arial"/>
          <w:color w:val="000080"/>
          <w:sz w:val="32"/>
        </w:rPr>
        <w:t>Comprehensive Income and Expenditure Statement</w:t>
      </w:r>
    </w:p>
    <w:p w:rsidR="000E1B41" w:rsidRDefault="000E1B41" w:rsidP="000E1B41">
      <w:pPr>
        <w:pStyle w:val="BodyTextIndent3"/>
        <w:ind w:left="0" w:right="-822"/>
        <w:jc w:val="left"/>
        <w:rPr>
          <w:rFonts w:ascii="Arial" w:hAnsi="Arial" w:cs="Arial"/>
          <w:color w:val="000080"/>
          <w:sz w:val="32"/>
        </w:rPr>
      </w:pPr>
    </w:p>
    <w:p w:rsidR="000E1B41" w:rsidRDefault="000E1B41" w:rsidP="000E1B41">
      <w:pPr>
        <w:pStyle w:val="BodyTextIndent3"/>
        <w:numPr>
          <w:ilvl w:val="0"/>
          <w:numId w:val="10"/>
        </w:numPr>
        <w:ind w:right="-822"/>
        <w:jc w:val="left"/>
        <w:rPr>
          <w:rFonts w:ascii="Arial" w:hAnsi="Arial" w:cs="Arial"/>
          <w:color w:val="000080"/>
          <w:sz w:val="32"/>
        </w:rPr>
      </w:pPr>
      <w:r>
        <w:rPr>
          <w:rFonts w:ascii="Arial" w:hAnsi="Arial" w:cs="Arial"/>
          <w:color w:val="000080"/>
          <w:sz w:val="32"/>
        </w:rPr>
        <w:t>Balance Sheet</w:t>
      </w:r>
    </w:p>
    <w:p w:rsidR="000E1B41" w:rsidRDefault="000E1B41" w:rsidP="000E1B41">
      <w:pPr>
        <w:pStyle w:val="BodyTextIndent3"/>
        <w:ind w:left="0" w:right="-822"/>
        <w:jc w:val="left"/>
        <w:rPr>
          <w:rFonts w:ascii="Arial" w:hAnsi="Arial" w:cs="Arial"/>
          <w:color w:val="000080"/>
          <w:sz w:val="32"/>
        </w:rPr>
      </w:pPr>
    </w:p>
    <w:p w:rsidR="000E1B41" w:rsidRDefault="000E1B41" w:rsidP="000E1B41">
      <w:pPr>
        <w:pStyle w:val="BodyTextIndent3"/>
        <w:numPr>
          <w:ilvl w:val="0"/>
          <w:numId w:val="10"/>
        </w:numPr>
        <w:ind w:right="-822"/>
        <w:jc w:val="left"/>
        <w:rPr>
          <w:rFonts w:ascii="Arial" w:hAnsi="Arial" w:cs="Arial"/>
          <w:color w:val="000080"/>
          <w:sz w:val="32"/>
        </w:rPr>
      </w:pPr>
      <w:r>
        <w:rPr>
          <w:rFonts w:ascii="Arial" w:hAnsi="Arial" w:cs="Arial"/>
          <w:color w:val="000080"/>
          <w:sz w:val="32"/>
        </w:rPr>
        <w:t>Cash Flow Statement</w:t>
      </w:r>
    </w:p>
    <w:p w:rsidR="000E1B41" w:rsidRDefault="000E1B41">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pPr>
    </w:p>
    <w:p w:rsidR="000B27E8" w:rsidRDefault="000B27E8">
      <w:pPr>
        <w:pStyle w:val="xl50"/>
        <w:spacing w:before="0" w:beforeAutospacing="0" w:after="0" w:afterAutospacing="0"/>
        <w:rPr>
          <w:rFonts w:eastAsia="Times New Roman"/>
          <w:sz w:val="32"/>
          <w:szCs w:val="20"/>
        </w:rPr>
        <w:sectPr w:rsidR="000B27E8" w:rsidSect="00762BB3">
          <w:headerReference w:type="default" r:id="rId28"/>
          <w:footerReference w:type="even" r:id="rId29"/>
          <w:footerReference w:type="default" r:id="rId30"/>
          <w:headerReference w:type="first" r:id="rId31"/>
          <w:pgSz w:w="11907" w:h="16840" w:code="9"/>
          <w:pgMar w:top="1440" w:right="1531" w:bottom="1440" w:left="1531" w:header="720" w:footer="720" w:gutter="0"/>
          <w:cols w:space="720"/>
        </w:sectPr>
      </w:pPr>
    </w:p>
    <w:p w:rsidR="00F23FFF" w:rsidRDefault="003552BC">
      <w:pPr>
        <w:pStyle w:val="xl50"/>
        <w:spacing w:before="0" w:beforeAutospacing="0" w:after="0" w:afterAutospacing="0"/>
        <w:rPr>
          <w:rFonts w:eastAsia="Times New Roman"/>
          <w:sz w:val="32"/>
          <w:szCs w:val="20"/>
        </w:rPr>
      </w:pPr>
      <w:r>
        <w:rPr>
          <w:rFonts w:eastAsia="Times New Roman"/>
          <w:sz w:val="32"/>
          <w:szCs w:val="20"/>
        </w:rPr>
        <w:lastRenderedPageBreak/>
        <w:t>Movement in Reserves</w:t>
      </w:r>
    </w:p>
    <w:p w:rsidR="00F23FFF" w:rsidRDefault="003552BC">
      <w:pPr>
        <w:pStyle w:val="xl50"/>
        <w:spacing w:before="0" w:beforeAutospacing="0" w:after="0" w:afterAutospacing="0"/>
        <w:rPr>
          <w:rFonts w:eastAsia="Times New Roman"/>
          <w:b w:val="0"/>
          <w:bCs w:val="0"/>
          <w:color w:val="auto"/>
          <w:sz w:val="20"/>
          <w:szCs w:val="20"/>
        </w:rPr>
      </w:pPr>
      <w:r>
        <w:rPr>
          <w:rFonts w:eastAsia="Times New Roman"/>
          <w:b w:val="0"/>
          <w:bCs w:val="0"/>
          <w:color w:val="auto"/>
          <w:sz w:val="20"/>
          <w:szCs w:val="20"/>
        </w:rPr>
        <w:t>This statement shows the movement in the year on the different reserves held by the authority, analysed into usable reserves (i.e. those that can be applied to fund expenditure or reduce local taxation) and other resources. The surplus or deficit on the provision of services line shows the true economic cost of providing the authority’s services, more details of which are shown in the Comprehensive Income and Expenditure Statement. These are different from the statutory amounts required to be charged to the General Fund Balance and the Housing Revenue Balance before any discretionary transfers to or from earmarked reserves undertaken by the Council.</w:t>
      </w:r>
    </w:p>
    <w:p w:rsidR="00296420" w:rsidRDefault="00296420">
      <w:pPr>
        <w:pStyle w:val="xl50"/>
        <w:spacing w:before="0" w:beforeAutospacing="0" w:after="0" w:afterAutospacing="0"/>
        <w:rPr>
          <w:rFonts w:eastAsia="Times New Roman"/>
          <w:b w:val="0"/>
          <w:bCs w:val="0"/>
          <w:color w:val="auto"/>
          <w:sz w:val="20"/>
          <w:szCs w:val="20"/>
        </w:rPr>
      </w:pPr>
    </w:p>
    <w:p w:rsidR="00296420" w:rsidRDefault="00B865DB" w:rsidP="00175419">
      <w:pPr>
        <w:pStyle w:val="xl50"/>
        <w:spacing w:before="0" w:beforeAutospacing="0" w:after="0" w:afterAutospacing="0"/>
        <w:jc w:val="center"/>
        <w:rPr>
          <w:rFonts w:eastAsia="Times New Roman"/>
          <w:sz w:val="20"/>
          <w:szCs w:val="20"/>
        </w:rPr>
        <w:sectPr w:rsidR="00296420" w:rsidSect="00762BB3">
          <w:pgSz w:w="16840" w:h="11907" w:orient="landscape" w:code="9"/>
          <w:pgMar w:top="1531" w:right="680" w:bottom="1134" w:left="709" w:header="720" w:footer="720" w:gutter="0"/>
          <w:cols w:space="720"/>
        </w:sectPr>
      </w:pPr>
      <w:r w:rsidRPr="00B865DB">
        <w:rPr>
          <w:noProof/>
          <w:lang w:eastAsia="en-GB"/>
        </w:rPr>
        <w:drawing>
          <wp:inline distT="0" distB="0" distL="0" distR="0" wp14:anchorId="5BAC6836" wp14:editId="0026D76F">
            <wp:extent cx="9971618" cy="4867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71618" cy="4867275"/>
                    </a:xfrm>
                    <a:prstGeom prst="rect">
                      <a:avLst/>
                    </a:prstGeom>
                    <a:noFill/>
                    <a:ln>
                      <a:noFill/>
                    </a:ln>
                  </pic:spPr>
                </pic:pic>
              </a:graphicData>
            </a:graphic>
          </wp:inline>
        </w:drawing>
      </w:r>
    </w:p>
    <w:p w:rsidR="00296420" w:rsidRDefault="00296420" w:rsidP="002578C6">
      <w:pPr>
        <w:pStyle w:val="xl50"/>
        <w:spacing w:before="0" w:beforeAutospacing="0" w:after="0" w:afterAutospacing="0"/>
        <w:rPr>
          <w:rFonts w:eastAsia="Times New Roman"/>
          <w:sz w:val="20"/>
          <w:szCs w:val="20"/>
        </w:rPr>
      </w:pPr>
    </w:p>
    <w:p w:rsidR="00296420" w:rsidRDefault="00296420" w:rsidP="00296420">
      <w:pPr>
        <w:pStyle w:val="xl50"/>
        <w:spacing w:before="0" w:beforeAutospacing="0" w:after="0" w:afterAutospacing="0"/>
        <w:rPr>
          <w:rFonts w:eastAsia="Times New Roman"/>
          <w:sz w:val="32"/>
          <w:szCs w:val="20"/>
        </w:rPr>
      </w:pPr>
      <w:r>
        <w:rPr>
          <w:rFonts w:eastAsia="Times New Roman"/>
          <w:sz w:val="32"/>
          <w:szCs w:val="20"/>
        </w:rPr>
        <w:t>Comprehensive Income and Expenditure Statement</w:t>
      </w:r>
    </w:p>
    <w:p w:rsidR="00296420" w:rsidRDefault="00296420" w:rsidP="00296420">
      <w:pPr>
        <w:pStyle w:val="xl65"/>
        <w:spacing w:before="0" w:beforeAutospacing="0" w:after="0" w:afterAutospacing="0"/>
        <w:rPr>
          <w:rFonts w:eastAsia="Times New Roman"/>
          <w:sz w:val="20"/>
          <w:szCs w:val="20"/>
        </w:rPr>
      </w:pPr>
      <w:r>
        <w:rPr>
          <w:rFonts w:eastAsia="Times New Roman"/>
          <w:sz w:val="20"/>
          <w:szCs w:val="20"/>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rsidR="00F23FFF" w:rsidRDefault="00F23FFF">
      <w:pPr>
        <w:pStyle w:val="xl65"/>
        <w:spacing w:before="0" w:beforeAutospacing="0" w:after="0" w:afterAutospacing="0"/>
        <w:rPr>
          <w:rFonts w:eastAsia="Times New Roman"/>
          <w:sz w:val="20"/>
          <w:szCs w:val="20"/>
        </w:rPr>
      </w:pPr>
    </w:p>
    <w:p w:rsidR="00755928" w:rsidRDefault="00FE52CC" w:rsidP="00755928">
      <w:pPr>
        <w:pStyle w:val="xl65"/>
        <w:spacing w:before="0" w:beforeAutospacing="0" w:after="0" w:afterAutospacing="0"/>
        <w:jc w:val="center"/>
        <w:rPr>
          <w:rFonts w:eastAsia="Times New Roman"/>
          <w:sz w:val="20"/>
          <w:szCs w:val="20"/>
        </w:rPr>
        <w:sectPr w:rsidR="00755928" w:rsidSect="00762BB3">
          <w:pgSz w:w="16840" w:h="11907" w:orient="landscape" w:code="9"/>
          <w:pgMar w:top="1134" w:right="1440" w:bottom="993" w:left="1440" w:header="720" w:footer="720" w:gutter="0"/>
          <w:cols w:space="720"/>
        </w:sectPr>
      </w:pPr>
      <w:r w:rsidRPr="00FE52CC">
        <w:rPr>
          <w:noProof/>
          <w:lang w:eastAsia="en-GB"/>
        </w:rPr>
        <w:drawing>
          <wp:inline distT="0" distB="0" distL="0" distR="0">
            <wp:extent cx="7448269" cy="52292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48269" cy="5229225"/>
                    </a:xfrm>
                    <a:prstGeom prst="rect">
                      <a:avLst/>
                    </a:prstGeom>
                    <a:noFill/>
                    <a:ln>
                      <a:noFill/>
                    </a:ln>
                  </pic:spPr>
                </pic:pic>
              </a:graphicData>
            </a:graphic>
          </wp:inline>
        </w:drawing>
      </w:r>
    </w:p>
    <w:p w:rsidR="000720FF" w:rsidRDefault="000720FF">
      <w:pPr>
        <w:rPr>
          <w:rFonts w:ascii="Arial" w:hAnsi="Arial" w:cs="Arial"/>
          <w:b/>
          <w:bCs/>
          <w:color w:val="000080"/>
          <w:sz w:val="32"/>
        </w:rPr>
      </w:pPr>
    </w:p>
    <w:p w:rsidR="000720FF" w:rsidRDefault="000720FF">
      <w:pPr>
        <w:rPr>
          <w:rFonts w:ascii="Arial" w:hAnsi="Arial" w:cs="Arial"/>
          <w:b/>
          <w:bCs/>
          <w:color w:val="000080"/>
          <w:sz w:val="32"/>
        </w:rPr>
      </w:pPr>
    </w:p>
    <w:p w:rsidR="00F23FFF" w:rsidRDefault="003552BC">
      <w:pPr>
        <w:rPr>
          <w:rFonts w:ascii="Arial" w:hAnsi="Arial" w:cs="Arial"/>
          <w:b/>
          <w:bCs/>
          <w:color w:val="000080"/>
          <w:sz w:val="32"/>
        </w:rPr>
      </w:pPr>
      <w:r>
        <w:rPr>
          <w:rFonts w:ascii="Arial" w:hAnsi="Arial" w:cs="Arial"/>
          <w:b/>
          <w:bCs/>
          <w:color w:val="000080"/>
          <w:sz w:val="32"/>
        </w:rPr>
        <w:t>Balance Sheet</w:t>
      </w:r>
    </w:p>
    <w:p w:rsidR="00F23FFF" w:rsidRDefault="00F23FFF">
      <w:pPr>
        <w:rPr>
          <w:rFonts w:ascii="Arial" w:hAnsi="Arial" w:cs="Arial"/>
          <w:color w:val="000080"/>
          <w:sz w:val="22"/>
        </w:rPr>
      </w:pPr>
    </w:p>
    <w:p w:rsidR="00B376C7" w:rsidRDefault="00B376C7">
      <w:pPr>
        <w:pStyle w:val="xl65"/>
        <w:spacing w:before="0" w:beforeAutospacing="0" w:after="0" w:afterAutospacing="0"/>
        <w:rPr>
          <w:rFonts w:eastAsia="Times New Roman"/>
          <w:sz w:val="20"/>
          <w:szCs w:val="20"/>
        </w:rPr>
      </w:pPr>
    </w:p>
    <w:p w:rsidR="000720FF" w:rsidRDefault="000720FF">
      <w:pPr>
        <w:pStyle w:val="xl65"/>
        <w:spacing w:before="0" w:beforeAutospacing="0" w:after="0" w:afterAutospacing="0"/>
        <w:rPr>
          <w:rFonts w:eastAsia="Times New Roman"/>
          <w:sz w:val="20"/>
          <w:szCs w:val="20"/>
        </w:rPr>
      </w:pPr>
    </w:p>
    <w:p w:rsidR="000720FF" w:rsidRDefault="000720FF">
      <w:pPr>
        <w:pStyle w:val="xl65"/>
        <w:spacing w:before="0" w:beforeAutospacing="0" w:after="0" w:afterAutospacing="0"/>
        <w:rPr>
          <w:rFonts w:eastAsia="Times New Roman"/>
          <w:sz w:val="20"/>
          <w:szCs w:val="20"/>
        </w:rPr>
      </w:pPr>
    </w:p>
    <w:p w:rsidR="000720FF" w:rsidRDefault="000720FF">
      <w:pPr>
        <w:pStyle w:val="xl65"/>
        <w:spacing w:before="0" w:beforeAutospacing="0" w:after="0" w:afterAutospacing="0"/>
        <w:rPr>
          <w:rFonts w:eastAsia="Times New Roman"/>
          <w:sz w:val="20"/>
          <w:szCs w:val="20"/>
        </w:rPr>
      </w:pPr>
    </w:p>
    <w:p w:rsidR="00F23FFF" w:rsidRDefault="00F23FFF">
      <w:pPr>
        <w:pStyle w:val="xl65"/>
        <w:spacing w:before="0" w:beforeAutospacing="0" w:after="0" w:afterAutospacing="0"/>
        <w:rPr>
          <w:rFonts w:eastAsia="Times New Roman"/>
          <w:sz w:val="20"/>
          <w:szCs w:val="20"/>
        </w:rPr>
      </w:pPr>
    </w:p>
    <w:p w:rsidR="00F23FFF" w:rsidRDefault="00B865DB" w:rsidP="006F201B">
      <w:pPr>
        <w:pStyle w:val="xl65"/>
        <w:spacing w:before="0" w:beforeAutospacing="0" w:after="0" w:afterAutospacing="0"/>
        <w:jc w:val="center"/>
        <w:rPr>
          <w:rFonts w:eastAsia="Times New Roman"/>
          <w:sz w:val="20"/>
          <w:szCs w:val="20"/>
        </w:rPr>
      </w:pPr>
      <w:r w:rsidRPr="00B865DB">
        <w:rPr>
          <w:noProof/>
          <w:lang w:eastAsia="en-GB"/>
        </w:rPr>
        <w:drawing>
          <wp:inline distT="0" distB="0" distL="0" distR="0" wp14:anchorId="60AA2A97" wp14:editId="7B30C888">
            <wp:extent cx="5616575" cy="6333783"/>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6575" cy="6333783"/>
                    </a:xfrm>
                    <a:prstGeom prst="rect">
                      <a:avLst/>
                    </a:prstGeom>
                    <a:noFill/>
                    <a:ln>
                      <a:noFill/>
                    </a:ln>
                  </pic:spPr>
                </pic:pic>
              </a:graphicData>
            </a:graphic>
          </wp:inline>
        </w:drawing>
      </w:r>
    </w:p>
    <w:p w:rsidR="00F23FFF" w:rsidRDefault="00F23FFF">
      <w:pPr>
        <w:pStyle w:val="xl65"/>
        <w:spacing w:before="0" w:beforeAutospacing="0" w:after="0" w:afterAutospacing="0"/>
        <w:rPr>
          <w:rFonts w:eastAsia="Times New Roman"/>
          <w:noProof/>
          <w:sz w:val="20"/>
          <w:szCs w:val="20"/>
          <w:lang w:eastAsia="en-GB"/>
        </w:rPr>
      </w:pPr>
    </w:p>
    <w:p w:rsidR="0032435F" w:rsidRDefault="0032435F">
      <w:pPr>
        <w:pStyle w:val="xl65"/>
        <w:spacing w:before="0" w:beforeAutospacing="0" w:after="0" w:afterAutospacing="0"/>
        <w:rPr>
          <w:rFonts w:eastAsia="Times New Roman"/>
          <w:noProof/>
          <w:sz w:val="20"/>
          <w:szCs w:val="20"/>
          <w:lang w:eastAsia="en-GB"/>
        </w:rPr>
      </w:pPr>
    </w:p>
    <w:p w:rsidR="0032435F" w:rsidRDefault="0032435F">
      <w:pPr>
        <w:pStyle w:val="xl65"/>
        <w:spacing w:before="0" w:beforeAutospacing="0" w:after="0" w:afterAutospacing="0"/>
        <w:rPr>
          <w:rFonts w:eastAsia="Times New Roman"/>
          <w:noProof/>
          <w:sz w:val="20"/>
          <w:szCs w:val="20"/>
          <w:lang w:eastAsia="en-GB"/>
        </w:rPr>
      </w:pPr>
    </w:p>
    <w:p w:rsidR="0032435F" w:rsidRDefault="0032435F">
      <w:pPr>
        <w:pStyle w:val="xl65"/>
        <w:spacing w:before="0" w:beforeAutospacing="0" w:after="0" w:afterAutospacing="0"/>
        <w:rPr>
          <w:rFonts w:eastAsia="Times New Roman"/>
          <w:noProof/>
          <w:sz w:val="20"/>
          <w:szCs w:val="20"/>
          <w:lang w:eastAsia="en-GB"/>
        </w:rPr>
      </w:pPr>
    </w:p>
    <w:p w:rsidR="0032435F" w:rsidRDefault="0032435F">
      <w:pPr>
        <w:pStyle w:val="xl65"/>
        <w:spacing w:before="0" w:beforeAutospacing="0" w:after="0" w:afterAutospacing="0"/>
        <w:rPr>
          <w:rFonts w:eastAsia="Times New Roman"/>
          <w:noProof/>
          <w:sz w:val="20"/>
          <w:szCs w:val="20"/>
          <w:lang w:eastAsia="en-GB"/>
        </w:rPr>
      </w:pPr>
    </w:p>
    <w:p w:rsidR="0032435F" w:rsidRDefault="0032435F">
      <w:pPr>
        <w:pStyle w:val="xl65"/>
        <w:spacing w:before="0" w:beforeAutospacing="0" w:after="0" w:afterAutospacing="0"/>
        <w:rPr>
          <w:rFonts w:eastAsia="Times New Roman"/>
          <w:noProof/>
          <w:sz w:val="20"/>
          <w:szCs w:val="20"/>
          <w:lang w:eastAsia="en-GB"/>
        </w:rPr>
      </w:pPr>
    </w:p>
    <w:p w:rsidR="0032435F" w:rsidRDefault="0032435F">
      <w:pPr>
        <w:pStyle w:val="xl65"/>
        <w:spacing w:before="0" w:beforeAutospacing="0" w:after="0" w:afterAutospacing="0"/>
        <w:rPr>
          <w:rFonts w:eastAsia="Times New Roman"/>
          <w:noProof/>
          <w:sz w:val="20"/>
          <w:szCs w:val="20"/>
          <w:lang w:eastAsia="en-GB"/>
        </w:rPr>
      </w:pPr>
    </w:p>
    <w:p w:rsidR="00F23FFF" w:rsidRDefault="00F23FFF">
      <w:pPr>
        <w:rPr>
          <w:rFonts w:ascii="Arial" w:hAnsi="Arial" w:cs="Arial"/>
          <w:sz w:val="22"/>
        </w:rPr>
      </w:pPr>
    </w:p>
    <w:p w:rsidR="000720FF" w:rsidRDefault="000720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lastRenderedPageBreak/>
        <w:t>Balance Sheet</w:t>
      </w:r>
    </w:p>
    <w:p w:rsidR="00F23FFF" w:rsidRDefault="00F23FFF">
      <w:pPr>
        <w:rPr>
          <w:rFonts w:ascii="Arial" w:hAnsi="Arial" w:cs="Arial"/>
          <w:sz w:val="22"/>
        </w:rPr>
      </w:pPr>
    </w:p>
    <w:p w:rsidR="000720FF" w:rsidRPr="000720FF" w:rsidRDefault="000720FF" w:rsidP="000720FF">
      <w:pPr>
        <w:pStyle w:val="xl65"/>
        <w:spacing w:before="0" w:beforeAutospacing="0" w:after="0" w:afterAutospacing="0"/>
        <w:rPr>
          <w:rFonts w:eastAsia="Times New Roman"/>
        </w:rPr>
      </w:pPr>
      <w:r w:rsidRPr="000720FF">
        <w:rPr>
          <w:rFonts w:eastAsia="Times New Roman"/>
        </w:rPr>
        <w:t>The Balance Sheet shows the value as at the Balance Sheet date of the assets and liabilities recognised by the authority. The net assets of the authority (assets less liabilities) are matched by the reserves held by the authority. Reserves are reported in two categories. The first category of reserves are usable reserves, i.e. those reserves that the authority may use to provide services, subject to the need to maintain a prudent level of reserves and any statutory limitations on their use (for example the Capital Receipts Reserves that may only be used to fund capital or r</w:t>
      </w:r>
      <w:r w:rsidR="00B865DB">
        <w:rPr>
          <w:rFonts w:eastAsia="Times New Roman"/>
        </w:rPr>
        <w:t xml:space="preserve">epay debt). The second </w:t>
      </w:r>
      <w:proofErr w:type="gramStart"/>
      <w:r w:rsidR="00B865DB">
        <w:rPr>
          <w:rFonts w:eastAsia="Times New Roman"/>
        </w:rPr>
        <w:t xml:space="preserve">category </w:t>
      </w:r>
      <w:r w:rsidRPr="000720FF">
        <w:rPr>
          <w:rFonts w:eastAsia="Times New Roman"/>
        </w:rPr>
        <w:t>of reserves are</w:t>
      </w:r>
      <w:proofErr w:type="gramEnd"/>
      <w:r w:rsidRPr="000720FF">
        <w:rPr>
          <w:rFonts w:eastAsia="Times New Roman"/>
        </w:rPr>
        <w:t xml:space="preserve">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b/>
          <w:bCs/>
          <w:sz w:val="22"/>
        </w:rPr>
      </w:pPr>
    </w:p>
    <w:p w:rsidR="00F23FFF" w:rsidRDefault="00F23FFF">
      <w:pPr>
        <w:rPr>
          <w:rFonts w:ascii="Arial" w:hAnsi="Arial" w:cs="Arial"/>
          <w:b/>
          <w:bCs/>
          <w:sz w:val="22"/>
        </w:rPr>
      </w:pPr>
    </w:p>
    <w:p w:rsidR="00F23FFF" w:rsidRDefault="003552BC">
      <w:pPr>
        <w:rPr>
          <w:rFonts w:ascii="Arial" w:hAnsi="Arial" w:cs="Arial"/>
          <w:sz w:val="22"/>
        </w:rPr>
      </w:pPr>
      <w:r>
        <w:rPr>
          <w:rFonts w:ascii="Arial" w:hAnsi="Arial" w:cs="Arial"/>
          <w:sz w:val="22"/>
        </w:rPr>
        <w:t>Signed:</w:t>
      </w:r>
    </w:p>
    <w:p w:rsidR="00F23FFF" w:rsidRDefault="00406569">
      <w:pPr>
        <w:rPr>
          <w:rFonts w:ascii="Arial" w:hAnsi="Arial" w:cs="Arial"/>
          <w:sz w:val="22"/>
        </w:rPr>
      </w:pPr>
      <w:r>
        <w:rPr>
          <w:rFonts w:ascii="Arial" w:hAnsi="Arial" w:cs="Arial"/>
          <w:noProof/>
          <w:sz w:val="22"/>
          <w:lang w:eastAsia="en-GB"/>
        </w:rPr>
        <w:drawing>
          <wp:inline distT="0" distB="0" distL="0" distR="0">
            <wp:extent cx="2819400" cy="5778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577889"/>
                    </a:xfrm>
                    <a:prstGeom prst="rect">
                      <a:avLst/>
                    </a:prstGeom>
                    <a:noFill/>
                    <a:ln>
                      <a:noFill/>
                    </a:ln>
                  </pic:spPr>
                </pic:pic>
              </a:graphicData>
            </a:graphic>
          </wp:inline>
        </w:drawing>
      </w:r>
    </w:p>
    <w:p w:rsidR="00F23FFF" w:rsidRDefault="003552BC">
      <w:pPr>
        <w:rPr>
          <w:rFonts w:ascii="Arial" w:hAnsi="Arial" w:cs="Arial"/>
          <w:sz w:val="22"/>
        </w:rPr>
      </w:pPr>
      <w:r>
        <w:rPr>
          <w:rFonts w:ascii="Arial" w:hAnsi="Arial" w:cs="Arial"/>
          <w:sz w:val="22"/>
        </w:rPr>
        <w:t>Alex Colyer</w:t>
      </w:r>
    </w:p>
    <w:p w:rsidR="00F23FFF" w:rsidRDefault="003552BC">
      <w:pPr>
        <w:rPr>
          <w:rFonts w:ascii="Arial" w:hAnsi="Arial" w:cs="Arial"/>
          <w:sz w:val="22"/>
        </w:rPr>
      </w:pPr>
      <w:r>
        <w:rPr>
          <w:rFonts w:ascii="Arial" w:hAnsi="Arial" w:cs="Arial"/>
          <w:sz w:val="22"/>
        </w:rPr>
        <w:t>Executive Di</w:t>
      </w:r>
      <w:r w:rsidR="00F208F8">
        <w:rPr>
          <w:rFonts w:ascii="Arial" w:hAnsi="Arial" w:cs="Arial"/>
          <w:sz w:val="22"/>
        </w:rPr>
        <w:t xml:space="preserve">rector (Corporate </w:t>
      </w:r>
      <w:r w:rsidR="00AF7287">
        <w:rPr>
          <w:rFonts w:ascii="Arial" w:hAnsi="Arial" w:cs="Arial"/>
          <w:sz w:val="22"/>
        </w:rPr>
        <w:t>Services) as Chief Finance O</w:t>
      </w:r>
      <w:r>
        <w:rPr>
          <w:rFonts w:ascii="Arial" w:hAnsi="Arial" w:cs="Arial"/>
          <w:sz w:val="22"/>
        </w:rPr>
        <w:t xml:space="preserve">fficer                        </w:t>
      </w:r>
    </w:p>
    <w:p w:rsidR="00F23FFF" w:rsidRDefault="00F23FFF">
      <w:pPr>
        <w:rPr>
          <w:rFonts w:ascii="Arial" w:hAnsi="Arial" w:cs="Arial"/>
          <w:b/>
          <w:bCs/>
          <w:sz w:val="22"/>
        </w:rPr>
      </w:pPr>
    </w:p>
    <w:p w:rsidR="00F23FFF" w:rsidRDefault="003552BC">
      <w:pPr>
        <w:rPr>
          <w:rFonts w:ascii="Arial" w:hAnsi="Arial" w:cs="Arial"/>
          <w:color w:val="000080"/>
          <w:sz w:val="22"/>
        </w:rPr>
      </w:pPr>
      <w:r>
        <w:rPr>
          <w:rFonts w:ascii="Arial" w:hAnsi="Arial" w:cs="Arial"/>
          <w:sz w:val="22"/>
        </w:rPr>
        <w:t xml:space="preserve">Dated: </w:t>
      </w:r>
      <w:r w:rsidR="00B865DB">
        <w:rPr>
          <w:rFonts w:ascii="Arial" w:hAnsi="Arial" w:cs="Arial"/>
          <w:sz w:val="22"/>
        </w:rPr>
        <w:t>26 September</w:t>
      </w:r>
      <w:r w:rsidR="00260FF0">
        <w:rPr>
          <w:rFonts w:ascii="Arial" w:hAnsi="Arial" w:cs="Arial"/>
          <w:sz w:val="22"/>
        </w:rPr>
        <w:t xml:space="preserve"> 201</w:t>
      </w:r>
      <w:r w:rsidR="00C1526B">
        <w:rPr>
          <w:rFonts w:ascii="Arial" w:hAnsi="Arial" w:cs="Arial"/>
          <w:sz w:val="22"/>
        </w:rPr>
        <w:t>4</w:t>
      </w:r>
    </w:p>
    <w:p w:rsidR="00F23FFF" w:rsidRDefault="00F23FFF">
      <w:pPr>
        <w:rPr>
          <w:rFonts w:ascii="Arial" w:hAnsi="Arial" w:cs="Arial"/>
          <w:b/>
          <w:bCs/>
          <w:color w:val="000080"/>
          <w:sz w:val="22"/>
        </w:rPr>
      </w:pPr>
    </w:p>
    <w:p w:rsidR="00F23FFF" w:rsidRDefault="00F23FFF">
      <w:pPr>
        <w:rPr>
          <w:rFonts w:ascii="Arial" w:hAnsi="Arial" w:cs="Arial"/>
          <w:b/>
          <w:bCs/>
          <w:color w:val="000080"/>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F23FFF" w:rsidRDefault="00F23FFF" w:rsidP="000720FF">
      <w:pPr>
        <w:tabs>
          <w:tab w:val="left" w:pos="2190"/>
        </w:tabs>
        <w:rPr>
          <w:rFonts w:ascii="Arial" w:hAnsi="Arial" w:cs="Arial"/>
          <w:sz w:val="22"/>
        </w:rPr>
      </w:pPr>
    </w:p>
    <w:p w:rsidR="00F23FFF" w:rsidRDefault="003552BC">
      <w:pPr>
        <w:rPr>
          <w:rFonts w:ascii="Arial" w:hAnsi="Arial" w:cs="Arial"/>
          <w:b/>
          <w:bCs/>
          <w:color w:val="000080"/>
          <w:sz w:val="32"/>
        </w:rPr>
      </w:pPr>
      <w:r>
        <w:rPr>
          <w:rFonts w:ascii="Arial" w:hAnsi="Arial" w:cs="Arial"/>
          <w:b/>
          <w:bCs/>
          <w:color w:val="000080"/>
          <w:sz w:val="32"/>
        </w:rPr>
        <w:t>Cash Flow Statement</w:t>
      </w:r>
    </w:p>
    <w:p w:rsidR="00F23FFF" w:rsidRDefault="00F23FFF">
      <w:pPr>
        <w:rPr>
          <w:rFonts w:ascii="Arial" w:hAnsi="Arial" w:cs="Arial"/>
          <w:color w:val="000080"/>
          <w:sz w:val="22"/>
        </w:rPr>
      </w:pPr>
    </w:p>
    <w:p w:rsidR="00F23FFF" w:rsidRDefault="003552BC">
      <w:pPr>
        <w:pStyle w:val="xl65"/>
        <w:spacing w:before="0" w:beforeAutospacing="0" w:after="0" w:afterAutospacing="0"/>
        <w:rPr>
          <w:rFonts w:eastAsia="Times New Roman"/>
          <w:szCs w:val="20"/>
        </w:rPr>
      </w:pPr>
      <w:r>
        <w:rPr>
          <w:rFonts w:eastAsia="Times New Roman"/>
          <w:szCs w:val="20"/>
        </w:rPr>
        <w:t>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 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(i.e. borrowing) to the authority.</w:t>
      </w: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rsidP="006170AA">
      <w:pPr>
        <w:jc w:val="center"/>
        <w:rPr>
          <w:rFonts w:ascii="Arial" w:hAnsi="Arial" w:cs="Arial"/>
          <w:b/>
          <w:bCs/>
          <w:color w:val="000080"/>
          <w:sz w:val="32"/>
        </w:rPr>
      </w:pPr>
    </w:p>
    <w:p w:rsidR="00F23FFF" w:rsidRDefault="00CE5070" w:rsidP="00CE5070">
      <w:pPr>
        <w:jc w:val="center"/>
        <w:rPr>
          <w:rFonts w:ascii="Arial" w:hAnsi="Arial" w:cs="Arial"/>
          <w:b/>
          <w:bCs/>
          <w:color w:val="000080"/>
          <w:sz w:val="32"/>
        </w:rPr>
      </w:pPr>
      <w:r w:rsidRPr="00CE5070">
        <w:rPr>
          <w:noProof/>
          <w:lang w:eastAsia="en-GB"/>
        </w:rPr>
        <w:drawing>
          <wp:inline distT="0" distB="0" distL="0" distR="0" wp14:anchorId="2E385A49" wp14:editId="42EC764A">
            <wp:extent cx="6265420" cy="3390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6303" cy="3396790"/>
                    </a:xfrm>
                    <a:prstGeom prst="rect">
                      <a:avLst/>
                    </a:prstGeom>
                    <a:noFill/>
                    <a:ln>
                      <a:noFill/>
                    </a:ln>
                  </pic:spPr>
                </pic:pic>
              </a:graphicData>
            </a:graphic>
          </wp:inline>
        </w:drawing>
      </w:r>
    </w:p>
    <w:p w:rsidR="003D09F1" w:rsidRDefault="003D09F1" w:rsidP="00C35EE4">
      <w:pPr>
        <w:jc w:val="center"/>
      </w:pPr>
    </w:p>
    <w:p w:rsidR="00F23FFF" w:rsidRDefault="00F23FFF" w:rsidP="00C35EE4">
      <w:pPr>
        <w:jc w:val="cente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rPr>
          <w:rFonts w:ascii="Arial" w:hAnsi="Arial" w:cs="Arial"/>
          <w:b/>
          <w:bCs/>
          <w:color w:val="000080"/>
          <w:sz w:val="32"/>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F23FFF">
      <w:pPr>
        <w:jc w:val="center"/>
        <w:rPr>
          <w:rFonts w:ascii="Arial" w:hAnsi="Arial" w:cs="Arial"/>
          <w:b/>
          <w:bCs/>
          <w:color w:val="000080"/>
          <w:sz w:val="48"/>
        </w:rPr>
      </w:pPr>
    </w:p>
    <w:p w:rsidR="00F23FFF" w:rsidRDefault="003552BC">
      <w:pPr>
        <w:jc w:val="center"/>
        <w:rPr>
          <w:rFonts w:ascii="Arial" w:hAnsi="Arial" w:cs="Arial"/>
          <w:b/>
          <w:bCs/>
          <w:color w:val="000080"/>
          <w:sz w:val="48"/>
        </w:rPr>
      </w:pPr>
      <w:r>
        <w:rPr>
          <w:rFonts w:ascii="Arial" w:hAnsi="Arial" w:cs="Arial"/>
          <w:b/>
          <w:bCs/>
          <w:color w:val="000080"/>
          <w:sz w:val="48"/>
        </w:rPr>
        <w:t>Notes to Main Financial Statements</w:t>
      </w:r>
    </w:p>
    <w:p w:rsidR="00F23FFF" w:rsidRDefault="00F23FFF">
      <w:pPr>
        <w:rPr>
          <w:rFonts w:ascii="Arial" w:hAnsi="Arial" w:cs="Arial"/>
          <w:b/>
          <w:bCs/>
          <w:color w:val="000080"/>
          <w:sz w:val="40"/>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ind w:left="360"/>
        <w:rPr>
          <w:rFonts w:ascii="Arial" w:hAnsi="Arial" w:cs="Arial"/>
          <w:color w:val="000080"/>
          <w:sz w:val="3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pPr>
    </w:p>
    <w:p w:rsidR="00F23FFF" w:rsidRDefault="00F23FFF">
      <w:pPr>
        <w:rPr>
          <w:rFonts w:ascii="Arial" w:hAnsi="Arial" w:cs="Arial"/>
          <w:color w:val="000080"/>
          <w:sz w:val="22"/>
        </w:rPr>
        <w:sectPr w:rsidR="00F23FFF" w:rsidSect="00762BB3">
          <w:pgSz w:w="11907" w:h="16840" w:code="9"/>
          <w:pgMar w:top="993" w:right="1531" w:bottom="1135" w:left="1531" w:header="720" w:footer="720" w:gutter="0"/>
          <w:cols w:space="720"/>
        </w:sectPr>
      </w:pPr>
    </w:p>
    <w:p w:rsidR="0020574F" w:rsidRDefault="0020574F" w:rsidP="0020574F">
      <w:pPr>
        <w:tabs>
          <w:tab w:val="left" w:pos="284"/>
        </w:tabs>
        <w:rPr>
          <w:rFonts w:ascii="Arial" w:hAnsi="Arial" w:cs="Arial"/>
          <w:b/>
          <w:bCs/>
          <w:color w:val="000080"/>
          <w:sz w:val="32"/>
        </w:rPr>
      </w:pPr>
      <w:r>
        <w:rPr>
          <w:rFonts w:ascii="Arial" w:hAnsi="Arial" w:cs="Arial"/>
          <w:b/>
          <w:bCs/>
          <w:color w:val="000080"/>
          <w:sz w:val="32"/>
        </w:rPr>
        <w:lastRenderedPageBreak/>
        <w:t>Notes to the Statement of Accounts</w:t>
      </w:r>
    </w:p>
    <w:p w:rsidR="0020574F" w:rsidRDefault="0020574F" w:rsidP="0020574F">
      <w:pPr>
        <w:rPr>
          <w:rFonts w:ascii="Arial" w:hAnsi="Arial" w:cs="Arial"/>
          <w:b/>
          <w:color w:val="000080"/>
          <w:sz w:val="24"/>
        </w:rPr>
      </w:pPr>
    </w:p>
    <w:p w:rsidR="0020574F" w:rsidRDefault="0020574F" w:rsidP="0020574F">
      <w:pPr>
        <w:numPr>
          <w:ilvl w:val="5"/>
          <w:numId w:val="5"/>
        </w:numPr>
        <w:tabs>
          <w:tab w:val="clear" w:pos="4500"/>
          <w:tab w:val="num" w:pos="426"/>
        </w:tabs>
        <w:ind w:hanging="4500"/>
        <w:rPr>
          <w:rFonts w:ascii="Arial" w:hAnsi="Arial" w:cs="Arial"/>
          <w:b/>
          <w:color w:val="000080"/>
          <w:sz w:val="24"/>
        </w:rPr>
      </w:pPr>
      <w:r>
        <w:rPr>
          <w:rFonts w:ascii="Arial" w:hAnsi="Arial" w:cs="Arial"/>
          <w:b/>
          <w:color w:val="000080"/>
          <w:sz w:val="32"/>
        </w:rPr>
        <w:t>Statement of Accounting Policies</w:t>
      </w:r>
    </w:p>
    <w:p w:rsidR="0020574F" w:rsidRDefault="0020574F" w:rsidP="0020574F">
      <w:pPr>
        <w:rPr>
          <w:rFonts w:ascii="Arial" w:hAnsi="Arial" w:cs="Arial"/>
          <w:b/>
          <w:color w:val="000080"/>
          <w:sz w:val="24"/>
        </w:rPr>
      </w:pPr>
    </w:p>
    <w:p w:rsidR="0020574F" w:rsidRDefault="0020574F" w:rsidP="0020574F">
      <w:pPr>
        <w:rPr>
          <w:rFonts w:ascii="Arial" w:hAnsi="Arial" w:cs="Arial"/>
          <w:sz w:val="22"/>
        </w:rPr>
      </w:pPr>
    </w:p>
    <w:p w:rsidR="0020574F" w:rsidRDefault="0020574F" w:rsidP="0020574F">
      <w:pPr>
        <w:ind w:left="-567" w:firstLine="567"/>
        <w:rPr>
          <w:rFonts w:ascii="Arial" w:hAnsi="Arial" w:cs="Arial"/>
          <w:b/>
          <w:color w:val="000080"/>
          <w:sz w:val="24"/>
        </w:rPr>
      </w:pPr>
      <w:proofErr w:type="gramStart"/>
      <w:r>
        <w:rPr>
          <w:rFonts w:ascii="Arial" w:hAnsi="Arial" w:cs="Arial"/>
          <w:b/>
          <w:color w:val="000080"/>
          <w:sz w:val="24"/>
        </w:rPr>
        <w:t>a</w:t>
      </w:r>
      <w:proofErr w:type="gramEnd"/>
      <w:r>
        <w:rPr>
          <w:rFonts w:ascii="Arial" w:hAnsi="Arial" w:cs="Arial"/>
          <w:b/>
          <w:color w:val="000080"/>
          <w:sz w:val="24"/>
        </w:rPr>
        <w:t xml:space="preserve">.   </w:t>
      </w:r>
      <w:r>
        <w:rPr>
          <w:rFonts w:ascii="Arial" w:hAnsi="Arial" w:cs="Arial"/>
          <w:b/>
          <w:color w:val="000080"/>
          <w:sz w:val="22"/>
        </w:rPr>
        <w:t>Genera</w:t>
      </w:r>
      <w:r>
        <w:rPr>
          <w:rFonts w:ascii="Arial" w:hAnsi="Arial" w:cs="Arial"/>
          <w:b/>
          <w:color w:val="000080"/>
          <w:sz w:val="24"/>
        </w:rPr>
        <w:t>l</w:t>
      </w:r>
    </w:p>
    <w:p w:rsidR="0020574F" w:rsidRDefault="0020574F" w:rsidP="0020574F">
      <w:pPr>
        <w:rPr>
          <w:rFonts w:ascii="Arial" w:hAnsi="Arial" w:cs="Arial"/>
          <w:sz w:val="22"/>
        </w:rPr>
      </w:pPr>
    </w:p>
    <w:p w:rsidR="0020574F" w:rsidRDefault="0020574F" w:rsidP="0020574F">
      <w:pPr>
        <w:pStyle w:val="BodyTextIndent"/>
        <w:ind w:left="426"/>
        <w:jc w:val="left"/>
        <w:rPr>
          <w:rFonts w:ascii="Arial" w:hAnsi="Arial" w:cs="Arial"/>
          <w:sz w:val="22"/>
        </w:rPr>
      </w:pPr>
      <w:r>
        <w:rPr>
          <w:rFonts w:ascii="Arial" w:hAnsi="Arial" w:cs="Arial"/>
          <w:sz w:val="22"/>
        </w:rPr>
        <w:t>The accounts have been prepared in accordance with the Code of Practice on Local Authority Accoun</w:t>
      </w:r>
      <w:r w:rsidR="00E17319">
        <w:rPr>
          <w:rFonts w:ascii="Arial" w:hAnsi="Arial" w:cs="Arial"/>
          <w:sz w:val="22"/>
        </w:rPr>
        <w:t>ting in the United Kingdom 201</w:t>
      </w:r>
      <w:r w:rsidR="00343B89">
        <w:rPr>
          <w:rFonts w:ascii="Arial" w:hAnsi="Arial" w:cs="Arial"/>
          <w:sz w:val="22"/>
        </w:rPr>
        <w:t>3</w:t>
      </w:r>
      <w:r w:rsidR="008869ED">
        <w:rPr>
          <w:rFonts w:ascii="Arial" w:hAnsi="Arial" w:cs="Arial"/>
          <w:sz w:val="22"/>
        </w:rPr>
        <w:t>-</w:t>
      </w:r>
      <w:r w:rsidR="00E17319">
        <w:rPr>
          <w:rFonts w:ascii="Arial" w:hAnsi="Arial" w:cs="Arial"/>
          <w:sz w:val="22"/>
        </w:rPr>
        <w:t>1</w:t>
      </w:r>
      <w:r w:rsidR="00343B89">
        <w:rPr>
          <w:rFonts w:ascii="Arial" w:hAnsi="Arial" w:cs="Arial"/>
          <w:sz w:val="22"/>
        </w:rPr>
        <w:t>4</w:t>
      </w:r>
      <w:r>
        <w:rPr>
          <w:rFonts w:ascii="Arial" w:hAnsi="Arial" w:cs="Arial"/>
          <w:sz w:val="22"/>
        </w:rPr>
        <w:t xml:space="preserve"> and the Service </w:t>
      </w:r>
      <w:r w:rsidR="00E17319">
        <w:rPr>
          <w:rFonts w:ascii="Arial" w:hAnsi="Arial" w:cs="Arial"/>
          <w:sz w:val="22"/>
        </w:rPr>
        <w:t>Reporting Code of Practice 201</w:t>
      </w:r>
      <w:r w:rsidR="00343B89">
        <w:rPr>
          <w:rFonts w:ascii="Arial" w:hAnsi="Arial" w:cs="Arial"/>
          <w:sz w:val="22"/>
        </w:rPr>
        <w:t>3</w:t>
      </w:r>
      <w:r w:rsidR="008869ED">
        <w:rPr>
          <w:rFonts w:ascii="Arial" w:hAnsi="Arial" w:cs="Arial"/>
          <w:sz w:val="22"/>
        </w:rPr>
        <w:t>-</w:t>
      </w:r>
      <w:r w:rsidR="00E17319">
        <w:rPr>
          <w:rFonts w:ascii="Arial" w:hAnsi="Arial" w:cs="Arial"/>
          <w:sz w:val="22"/>
        </w:rPr>
        <w:t>1</w:t>
      </w:r>
      <w:r w:rsidR="00343B89">
        <w:rPr>
          <w:rFonts w:ascii="Arial" w:hAnsi="Arial" w:cs="Arial"/>
          <w:sz w:val="22"/>
        </w:rPr>
        <w:t>4</w:t>
      </w:r>
      <w:r>
        <w:rPr>
          <w:rFonts w:ascii="Arial" w:hAnsi="Arial" w:cs="Arial"/>
          <w:sz w:val="22"/>
        </w:rPr>
        <w:t xml:space="preserve"> supported by International Financial Reporting Standards.</w:t>
      </w:r>
    </w:p>
    <w:p w:rsidR="0020574F" w:rsidRDefault="0020574F" w:rsidP="0020574F">
      <w:pPr>
        <w:pStyle w:val="BodyTextIndent"/>
        <w:ind w:left="426"/>
        <w:jc w:val="left"/>
        <w:rPr>
          <w:rFonts w:ascii="Arial" w:hAnsi="Arial" w:cs="Arial"/>
          <w:sz w:val="22"/>
        </w:rPr>
      </w:pPr>
    </w:p>
    <w:p w:rsidR="0020574F" w:rsidRDefault="0020574F" w:rsidP="0020574F">
      <w:pPr>
        <w:pStyle w:val="BodyTextIndent"/>
        <w:ind w:left="426"/>
        <w:jc w:val="left"/>
        <w:rPr>
          <w:rFonts w:ascii="Arial" w:hAnsi="Arial" w:cs="Arial"/>
          <w:sz w:val="22"/>
        </w:rPr>
      </w:pPr>
      <w:r>
        <w:rPr>
          <w:rFonts w:ascii="Arial" w:hAnsi="Arial" w:cs="Arial"/>
          <w:sz w:val="22"/>
        </w:rPr>
        <w:t>The accounting convention adopted is historical cost modified by the revaluation of certain categories of non-current assets.</w:t>
      </w:r>
    </w:p>
    <w:p w:rsidR="00B95630" w:rsidRDefault="00B95630" w:rsidP="00B95630">
      <w:pPr>
        <w:ind w:left="720"/>
        <w:rPr>
          <w:rFonts w:ascii="Arial" w:hAnsi="Arial" w:cs="Arial"/>
          <w:b/>
          <w:color w:val="000080"/>
          <w:sz w:val="22"/>
        </w:rPr>
      </w:pPr>
    </w:p>
    <w:p w:rsidR="00B95630" w:rsidRDefault="00B95630" w:rsidP="00B95630">
      <w:pPr>
        <w:ind w:left="720"/>
        <w:rPr>
          <w:rFonts w:ascii="Arial" w:hAnsi="Arial" w:cs="Arial"/>
          <w:b/>
          <w:color w:val="000080"/>
          <w:sz w:val="22"/>
        </w:rPr>
      </w:pPr>
    </w:p>
    <w:p w:rsidR="0020574F" w:rsidRDefault="0020574F" w:rsidP="0020574F">
      <w:pPr>
        <w:numPr>
          <w:ilvl w:val="0"/>
          <w:numId w:val="22"/>
        </w:numPr>
        <w:tabs>
          <w:tab w:val="clear" w:pos="720"/>
          <w:tab w:val="num" w:pos="426"/>
        </w:tabs>
        <w:ind w:hanging="720"/>
        <w:rPr>
          <w:rFonts w:ascii="Arial" w:hAnsi="Arial" w:cs="Arial"/>
          <w:b/>
          <w:color w:val="000080"/>
          <w:sz w:val="22"/>
        </w:rPr>
      </w:pPr>
      <w:r>
        <w:rPr>
          <w:rFonts w:ascii="Arial" w:hAnsi="Arial" w:cs="Arial"/>
          <w:b/>
          <w:color w:val="000080"/>
          <w:sz w:val="22"/>
        </w:rPr>
        <w:t>Accruals of Income and Expenditure</w:t>
      </w:r>
    </w:p>
    <w:p w:rsidR="0020574F" w:rsidRDefault="0020574F" w:rsidP="0020574F">
      <w:pPr>
        <w:rPr>
          <w:rFonts w:ascii="Arial" w:hAnsi="Arial" w:cs="Arial"/>
          <w:sz w:val="22"/>
        </w:rPr>
      </w:pPr>
    </w:p>
    <w:p w:rsidR="0020574F" w:rsidRDefault="0020574F" w:rsidP="0020574F">
      <w:pPr>
        <w:ind w:left="426"/>
        <w:rPr>
          <w:rFonts w:ascii="Arial" w:hAnsi="Arial" w:cs="Arial"/>
          <w:sz w:val="22"/>
        </w:rPr>
      </w:pPr>
      <w:r>
        <w:rPr>
          <w:rFonts w:ascii="Arial" w:hAnsi="Arial" w:cs="Arial"/>
          <w:sz w:val="22"/>
        </w:rPr>
        <w:t>The accounts of the Council are maintained on an accruals basis, that is, sums due to the Council for goods/services provided or due from the Council for goods/services received during the year are included as income or expenditure whether or not the cash has actually been received or paid in the year.</w:t>
      </w:r>
    </w:p>
    <w:p w:rsidR="0020574F" w:rsidRDefault="0020574F" w:rsidP="0020574F">
      <w:pPr>
        <w:ind w:left="426"/>
        <w:rPr>
          <w:rFonts w:ascii="Arial" w:hAnsi="Arial" w:cs="Arial"/>
          <w:sz w:val="22"/>
        </w:rPr>
      </w:pPr>
    </w:p>
    <w:p w:rsidR="0020574F" w:rsidRDefault="0020574F" w:rsidP="0020574F">
      <w:pPr>
        <w:ind w:left="426"/>
        <w:rPr>
          <w:rFonts w:ascii="Arial" w:hAnsi="Arial" w:cs="Arial"/>
          <w:sz w:val="22"/>
        </w:rPr>
      </w:pPr>
      <w:r>
        <w:rPr>
          <w:rFonts w:ascii="Arial" w:hAnsi="Arial" w:cs="Arial"/>
          <w:sz w:val="22"/>
        </w:rPr>
        <w:t xml:space="preserve">Exceptions to this principle relate, for example, to quarterly payments where payments are charged in the year rather than apportioning charges between financial years. This policy is consistently applied each year and, therefore, does not have a material effect on the year’s accounts. Grants payable to other organisations are included in the accounts on a payments basis. </w:t>
      </w:r>
    </w:p>
    <w:p w:rsidR="0020574F" w:rsidRDefault="0020574F" w:rsidP="0020574F">
      <w:pPr>
        <w:ind w:left="426"/>
        <w:rPr>
          <w:rFonts w:ascii="Arial" w:hAnsi="Arial" w:cs="Arial"/>
          <w:sz w:val="22"/>
        </w:rPr>
      </w:pPr>
    </w:p>
    <w:p w:rsidR="0020574F" w:rsidRDefault="0020574F" w:rsidP="0020574F">
      <w:pPr>
        <w:ind w:left="426"/>
        <w:rPr>
          <w:rFonts w:ascii="Arial" w:hAnsi="Arial" w:cs="Arial"/>
          <w:sz w:val="22"/>
        </w:rPr>
      </w:pPr>
      <w:r>
        <w:rPr>
          <w:rFonts w:ascii="Arial" w:hAnsi="Arial" w:cs="Arial"/>
          <w:sz w:val="22"/>
        </w:rPr>
        <w:t>Where income and expenditure has been recognised in the accounts but cash has not been received or paid, a debtor or creditor is recorded in the balance sheet.</w:t>
      </w:r>
    </w:p>
    <w:p w:rsidR="0020574F" w:rsidRDefault="0020574F" w:rsidP="0020574F">
      <w:pPr>
        <w:ind w:left="426"/>
        <w:rPr>
          <w:rFonts w:ascii="Arial" w:hAnsi="Arial" w:cs="Arial"/>
          <w:color w:val="000080"/>
          <w:sz w:val="22"/>
        </w:rPr>
      </w:pPr>
    </w:p>
    <w:p w:rsidR="0020574F" w:rsidRDefault="0020574F" w:rsidP="0020574F">
      <w:pPr>
        <w:ind w:left="426"/>
        <w:rPr>
          <w:rFonts w:ascii="Arial" w:hAnsi="Arial" w:cs="Arial"/>
          <w:color w:val="000080"/>
          <w:sz w:val="22"/>
        </w:rPr>
      </w:pPr>
    </w:p>
    <w:p w:rsidR="0020574F" w:rsidRDefault="0020574F" w:rsidP="0020574F">
      <w:pPr>
        <w:numPr>
          <w:ilvl w:val="0"/>
          <w:numId w:val="22"/>
        </w:numPr>
        <w:tabs>
          <w:tab w:val="clear" w:pos="720"/>
          <w:tab w:val="num" w:pos="426"/>
        </w:tabs>
        <w:ind w:hanging="720"/>
        <w:rPr>
          <w:rFonts w:ascii="Arial" w:hAnsi="Arial" w:cs="Arial"/>
          <w:b/>
          <w:color w:val="000080"/>
          <w:sz w:val="22"/>
        </w:rPr>
      </w:pPr>
      <w:r>
        <w:rPr>
          <w:rFonts w:ascii="Arial" w:hAnsi="Arial" w:cs="Arial"/>
          <w:b/>
          <w:color w:val="000080"/>
          <w:sz w:val="22"/>
        </w:rPr>
        <w:t>Cash and Cash Equivalents</w:t>
      </w:r>
    </w:p>
    <w:p w:rsidR="0020574F" w:rsidRDefault="0020574F" w:rsidP="0020574F">
      <w:pPr>
        <w:rPr>
          <w:rFonts w:ascii="Arial" w:hAnsi="Arial" w:cs="Arial"/>
          <w:b/>
          <w:color w:val="0000FF"/>
          <w:sz w:val="22"/>
        </w:rPr>
      </w:pPr>
    </w:p>
    <w:p w:rsidR="0020574F" w:rsidRDefault="0020574F" w:rsidP="0020574F">
      <w:pPr>
        <w:ind w:left="426"/>
        <w:rPr>
          <w:rFonts w:ascii="Arial" w:hAnsi="Arial" w:cs="Arial"/>
          <w:sz w:val="22"/>
        </w:rPr>
      </w:pPr>
      <w:r>
        <w:rPr>
          <w:rFonts w:ascii="Arial" w:hAnsi="Arial" w:cs="Arial"/>
          <w:sz w:val="22"/>
        </w:rPr>
        <w:t>Cash is represented by cash in hand and deposits with financial institutions repayable without penalty on notice of not more than 24 hours. Cash equivalents are investments that mature in three months or less from the date of acquisition and that are readily convertible to known amounts of cash with insignificant risk of change in value.</w:t>
      </w: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r>
        <w:rPr>
          <w:rFonts w:ascii="Arial" w:hAnsi="Arial" w:cs="Arial"/>
          <w:sz w:val="22"/>
        </w:rPr>
        <w:t>In the Cash Flow Statement, cash and cash equivalents are shown net of bank overdrafts that are repayable on demand and form an integral part of the Authority’s cash management.</w:t>
      </w:r>
    </w:p>
    <w:p w:rsidR="0020574F" w:rsidRDefault="0020574F" w:rsidP="0020574F">
      <w:pPr>
        <w:ind w:left="360"/>
        <w:rPr>
          <w:rFonts w:ascii="Arial" w:hAnsi="Arial" w:cs="Arial"/>
          <w:color w:val="000080"/>
          <w:sz w:val="22"/>
        </w:rPr>
      </w:pPr>
    </w:p>
    <w:p w:rsidR="0020574F" w:rsidRDefault="0020574F" w:rsidP="0020574F">
      <w:pPr>
        <w:ind w:left="360"/>
        <w:rPr>
          <w:rFonts w:ascii="Arial" w:hAnsi="Arial" w:cs="Arial"/>
          <w:color w:val="000080"/>
          <w:sz w:val="22"/>
        </w:rPr>
      </w:pPr>
    </w:p>
    <w:p w:rsidR="0020574F" w:rsidRDefault="0020574F" w:rsidP="0020574F">
      <w:pPr>
        <w:tabs>
          <w:tab w:val="left" w:pos="426"/>
        </w:tabs>
        <w:ind w:left="426" w:hanging="426"/>
        <w:rPr>
          <w:rFonts w:ascii="Arial" w:hAnsi="Arial" w:cs="Arial"/>
          <w:b/>
          <w:color w:val="000080"/>
          <w:sz w:val="24"/>
        </w:rPr>
      </w:pPr>
      <w:r>
        <w:rPr>
          <w:rFonts w:ascii="Arial" w:hAnsi="Arial" w:cs="Arial"/>
          <w:b/>
          <w:color w:val="000080"/>
          <w:sz w:val="24"/>
        </w:rPr>
        <w:t xml:space="preserve">d.   </w:t>
      </w:r>
      <w:r>
        <w:rPr>
          <w:rFonts w:ascii="Arial" w:hAnsi="Arial" w:cs="Arial"/>
          <w:b/>
          <w:color w:val="000080"/>
          <w:sz w:val="22"/>
        </w:rPr>
        <w:t>Prior Period Adjustments, Changes in Accounting Policies and Estimates, and Errors</w:t>
      </w:r>
    </w:p>
    <w:p w:rsidR="0020574F" w:rsidRDefault="0020574F" w:rsidP="0020574F">
      <w:pPr>
        <w:rPr>
          <w:rFonts w:ascii="Arial" w:hAnsi="Arial" w:cs="Arial"/>
          <w:b/>
          <w:color w:val="000080"/>
          <w:sz w:val="22"/>
        </w:rPr>
      </w:pPr>
    </w:p>
    <w:p w:rsidR="0020574F" w:rsidRDefault="0020574F" w:rsidP="0020574F">
      <w:pPr>
        <w:ind w:left="426"/>
        <w:rPr>
          <w:rFonts w:ascii="Arial" w:hAnsi="Arial" w:cs="Arial"/>
          <w:sz w:val="22"/>
        </w:rPr>
      </w:pPr>
      <w:r>
        <w:rPr>
          <w:rFonts w:ascii="Arial" w:hAnsi="Arial" w:cs="Arial"/>
          <w:sz w:val="22"/>
        </w:rPr>
        <w:t>Prior period adjustments may arise as a result of a change in accounting policies or to correct a material error.</w:t>
      </w:r>
    </w:p>
    <w:p w:rsidR="0020574F" w:rsidRDefault="0020574F" w:rsidP="0020574F">
      <w:pPr>
        <w:ind w:left="426"/>
        <w:rPr>
          <w:rFonts w:ascii="Arial" w:hAnsi="Arial" w:cs="Arial"/>
          <w:sz w:val="22"/>
        </w:rPr>
      </w:pPr>
    </w:p>
    <w:p w:rsidR="0020574F" w:rsidRDefault="0020574F" w:rsidP="0020574F">
      <w:pPr>
        <w:pStyle w:val="BodyTextIndent2"/>
        <w:ind w:left="426"/>
        <w:rPr>
          <w:rFonts w:ascii="Arial" w:hAnsi="Arial" w:cs="Arial"/>
          <w:bCs/>
          <w:sz w:val="22"/>
        </w:rPr>
      </w:pPr>
      <w:r>
        <w:rPr>
          <w:rFonts w:ascii="Arial" w:hAnsi="Arial" w:cs="Arial"/>
          <w:bCs/>
          <w:sz w:val="22"/>
        </w:rPr>
        <w:t xml:space="preserve">Changes in accounting policies are only made when required by proper accounting practices or the change provides more reliable or relevant information on the Authority’s financial position or performance. Where a change is made, it is applied </w:t>
      </w:r>
      <w:r>
        <w:rPr>
          <w:rFonts w:ascii="Arial" w:hAnsi="Arial" w:cs="Arial"/>
          <w:bCs/>
          <w:sz w:val="22"/>
        </w:rPr>
        <w:lastRenderedPageBreak/>
        <w:t>retrospectively by adjusting opening balances and comparative amounts for the prior period.</w:t>
      </w:r>
    </w:p>
    <w:p w:rsidR="0020574F" w:rsidRDefault="0020574F" w:rsidP="0020574F">
      <w:pPr>
        <w:ind w:left="426"/>
        <w:rPr>
          <w:rFonts w:ascii="Arial" w:hAnsi="Arial" w:cs="Arial"/>
          <w:color w:val="0000FF"/>
          <w:sz w:val="22"/>
        </w:rPr>
      </w:pPr>
    </w:p>
    <w:p w:rsidR="0020574F" w:rsidRDefault="0020574F" w:rsidP="0020574F">
      <w:pPr>
        <w:pStyle w:val="BodyTextIndent2"/>
        <w:ind w:left="426"/>
        <w:rPr>
          <w:rFonts w:ascii="Arial" w:hAnsi="Arial" w:cs="Arial"/>
          <w:bCs/>
          <w:sz w:val="22"/>
        </w:rPr>
      </w:pPr>
      <w:r>
        <w:rPr>
          <w:rFonts w:ascii="Arial" w:hAnsi="Arial" w:cs="Arial"/>
          <w:bCs/>
          <w:sz w:val="22"/>
        </w:rPr>
        <w:t xml:space="preserve">Changes in accounting estimates are accounted for prospectively in the current and future years affected by the change and do not give rise to a prior period adjustment. </w:t>
      </w:r>
    </w:p>
    <w:p w:rsidR="0020574F" w:rsidRDefault="0020574F" w:rsidP="0020574F">
      <w:pPr>
        <w:ind w:left="360"/>
        <w:rPr>
          <w:rFonts w:ascii="Arial" w:hAnsi="Arial" w:cs="Arial"/>
          <w:color w:val="0000FF"/>
          <w:sz w:val="22"/>
        </w:rPr>
      </w:pPr>
    </w:p>
    <w:p w:rsidR="0020574F" w:rsidRDefault="0020574F" w:rsidP="0020574F">
      <w:pPr>
        <w:ind w:left="360"/>
        <w:rPr>
          <w:rFonts w:ascii="Arial" w:hAnsi="Arial" w:cs="Arial"/>
          <w:color w:val="0000FF"/>
          <w:sz w:val="24"/>
        </w:rPr>
      </w:pPr>
    </w:p>
    <w:p w:rsidR="0020574F" w:rsidRDefault="0020574F" w:rsidP="0020574F">
      <w:pPr>
        <w:pStyle w:val="xl50"/>
        <w:numPr>
          <w:ilvl w:val="0"/>
          <w:numId w:val="19"/>
        </w:numPr>
        <w:tabs>
          <w:tab w:val="clear" w:pos="720"/>
          <w:tab w:val="num" w:pos="0"/>
          <w:tab w:val="num" w:pos="502"/>
        </w:tabs>
        <w:spacing w:before="0" w:beforeAutospacing="0" w:after="0" w:afterAutospacing="0"/>
        <w:ind w:left="426" w:hanging="426"/>
        <w:rPr>
          <w:rFonts w:eastAsia="Times New Roman"/>
          <w:sz w:val="22"/>
        </w:rPr>
      </w:pPr>
      <w:r>
        <w:rPr>
          <w:rFonts w:eastAsia="Times New Roman"/>
          <w:sz w:val="22"/>
        </w:rPr>
        <w:t>Charges to Revenue for Non-Current Assets</w:t>
      </w:r>
    </w:p>
    <w:p w:rsidR="0020574F" w:rsidRDefault="0020574F" w:rsidP="0020574F">
      <w:pPr>
        <w:rPr>
          <w:rFonts w:ascii="Arial" w:hAnsi="Arial" w:cs="Arial"/>
          <w:b/>
          <w:color w:val="0000FF"/>
          <w:sz w:val="22"/>
        </w:rPr>
      </w:pPr>
    </w:p>
    <w:p w:rsidR="0020574F" w:rsidRDefault="0020574F" w:rsidP="0020574F">
      <w:pPr>
        <w:ind w:left="426"/>
        <w:rPr>
          <w:rFonts w:ascii="Arial" w:hAnsi="Arial" w:cs="Arial"/>
          <w:sz w:val="22"/>
        </w:rPr>
      </w:pPr>
      <w:r>
        <w:rPr>
          <w:rFonts w:ascii="Arial" w:hAnsi="Arial" w:cs="Arial"/>
          <w:sz w:val="22"/>
        </w:rPr>
        <w:t>Services, support services and trading accounts are charged with the following amounts to record the cost of holding non-current assets during the year:</w:t>
      </w:r>
    </w:p>
    <w:p w:rsidR="0020574F" w:rsidRDefault="0020574F" w:rsidP="0020574F">
      <w:pPr>
        <w:ind w:left="426"/>
        <w:rPr>
          <w:rFonts w:ascii="Arial" w:hAnsi="Arial" w:cs="Arial"/>
          <w:sz w:val="22"/>
        </w:rPr>
      </w:pPr>
    </w:p>
    <w:p w:rsidR="0020574F" w:rsidRDefault="0020574F" w:rsidP="0020574F">
      <w:pPr>
        <w:numPr>
          <w:ilvl w:val="0"/>
          <w:numId w:val="13"/>
        </w:numPr>
        <w:tabs>
          <w:tab w:val="clear" w:pos="1080"/>
          <w:tab w:val="num" w:pos="851"/>
        </w:tabs>
        <w:ind w:left="426" w:firstLine="0"/>
        <w:rPr>
          <w:rFonts w:ascii="Arial" w:hAnsi="Arial" w:cs="Arial"/>
          <w:sz w:val="22"/>
        </w:rPr>
      </w:pPr>
      <w:r>
        <w:rPr>
          <w:rFonts w:ascii="Arial" w:hAnsi="Arial" w:cs="Arial"/>
          <w:sz w:val="22"/>
        </w:rPr>
        <w:t>depreciation attributable to the assets used by the relevant service;</w:t>
      </w:r>
    </w:p>
    <w:p w:rsidR="0020574F" w:rsidRDefault="0020574F" w:rsidP="0020574F">
      <w:pPr>
        <w:ind w:left="426"/>
        <w:rPr>
          <w:rFonts w:ascii="Arial" w:hAnsi="Arial" w:cs="Arial"/>
          <w:sz w:val="22"/>
        </w:rPr>
      </w:pPr>
    </w:p>
    <w:p w:rsidR="0020574F" w:rsidRDefault="0020574F" w:rsidP="0020574F">
      <w:pPr>
        <w:numPr>
          <w:ilvl w:val="0"/>
          <w:numId w:val="13"/>
        </w:numPr>
        <w:tabs>
          <w:tab w:val="clear" w:pos="1080"/>
          <w:tab w:val="num" w:pos="851"/>
        </w:tabs>
        <w:ind w:left="851" w:hanging="425"/>
        <w:rPr>
          <w:rFonts w:ascii="Arial" w:hAnsi="Arial" w:cs="Arial"/>
          <w:sz w:val="22"/>
        </w:rPr>
      </w:pPr>
      <w:r>
        <w:rPr>
          <w:rFonts w:ascii="Arial" w:hAnsi="Arial" w:cs="Arial"/>
          <w:sz w:val="22"/>
        </w:rPr>
        <w:t>revaluation and impairment losses on assets used by the service where there are no accumulated gains in the revaluation reserve against which the losses can be written off; and</w:t>
      </w:r>
    </w:p>
    <w:p w:rsidR="0020574F" w:rsidRDefault="0020574F" w:rsidP="0020574F">
      <w:pPr>
        <w:ind w:left="426"/>
        <w:rPr>
          <w:rFonts w:ascii="Arial" w:hAnsi="Arial" w:cs="Arial"/>
          <w:sz w:val="22"/>
        </w:rPr>
      </w:pPr>
    </w:p>
    <w:p w:rsidR="0020574F" w:rsidRDefault="0020574F" w:rsidP="0020574F">
      <w:pPr>
        <w:numPr>
          <w:ilvl w:val="0"/>
          <w:numId w:val="13"/>
        </w:numPr>
        <w:tabs>
          <w:tab w:val="clear" w:pos="1080"/>
          <w:tab w:val="num" w:pos="851"/>
        </w:tabs>
        <w:ind w:left="426" w:firstLine="0"/>
        <w:rPr>
          <w:rFonts w:ascii="Arial" w:hAnsi="Arial" w:cs="Arial"/>
          <w:sz w:val="22"/>
        </w:rPr>
      </w:pPr>
      <w:proofErr w:type="gramStart"/>
      <w:r>
        <w:rPr>
          <w:rFonts w:ascii="Arial" w:hAnsi="Arial" w:cs="Arial"/>
          <w:sz w:val="22"/>
        </w:rPr>
        <w:t>amortisation</w:t>
      </w:r>
      <w:proofErr w:type="gramEnd"/>
      <w:r>
        <w:rPr>
          <w:rFonts w:ascii="Arial" w:hAnsi="Arial" w:cs="Arial"/>
          <w:sz w:val="22"/>
        </w:rPr>
        <w:t xml:space="preserve"> of intangible assets attributable to the service.</w:t>
      </w:r>
    </w:p>
    <w:p w:rsidR="0020574F" w:rsidRDefault="0020574F" w:rsidP="0020574F">
      <w:pPr>
        <w:pStyle w:val="xl65"/>
        <w:spacing w:before="0" w:beforeAutospacing="0" w:after="0" w:afterAutospacing="0"/>
        <w:ind w:left="426"/>
        <w:rPr>
          <w:rFonts w:eastAsia="Times New Roman"/>
          <w:bCs/>
          <w:szCs w:val="24"/>
        </w:rPr>
      </w:pPr>
    </w:p>
    <w:p w:rsidR="0020574F" w:rsidRDefault="0020574F" w:rsidP="0020574F">
      <w:pPr>
        <w:ind w:left="426"/>
        <w:rPr>
          <w:rFonts w:ascii="Arial" w:hAnsi="Arial" w:cs="Arial"/>
          <w:sz w:val="22"/>
        </w:rPr>
      </w:pPr>
      <w:r>
        <w:rPr>
          <w:rFonts w:ascii="Arial" w:hAnsi="Arial" w:cs="Arial"/>
          <w:sz w:val="22"/>
        </w:rPr>
        <w:t>Any depreciation, revaluation and impairment losses and amortisation charged to the relevant accounts is reversed out in the movement in reserves statement and transferred to the capital adjustment account so that these charges are not met by council tax or rents.</w:t>
      </w:r>
      <w:r>
        <w:rPr>
          <w:rFonts w:ascii="Arial" w:hAnsi="Arial" w:cs="Arial"/>
          <w:sz w:val="22"/>
        </w:rPr>
        <w:tab/>
      </w:r>
    </w:p>
    <w:p w:rsidR="0020574F" w:rsidRDefault="0020574F" w:rsidP="0020574F">
      <w:pPr>
        <w:ind w:left="426"/>
        <w:rPr>
          <w:rFonts w:ascii="Arial" w:hAnsi="Arial" w:cs="Arial"/>
          <w:color w:val="0000FF"/>
          <w:sz w:val="22"/>
        </w:rPr>
      </w:pPr>
    </w:p>
    <w:p w:rsidR="00AE0DA1" w:rsidRDefault="0020574F" w:rsidP="0020574F">
      <w:pPr>
        <w:pStyle w:val="BodyTextIndent3"/>
        <w:tabs>
          <w:tab w:val="left" w:pos="284"/>
        </w:tabs>
        <w:ind w:left="426"/>
        <w:jc w:val="left"/>
        <w:rPr>
          <w:rFonts w:ascii="Arial" w:hAnsi="Arial" w:cs="Arial"/>
          <w:color w:val="000000"/>
          <w:sz w:val="22"/>
        </w:rPr>
      </w:pPr>
      <w:r>
        <w:rPr>
          <w:rFonts w:ascii="Arial" w:hAnsi="Arial" w:cs="Arial"/>
          <w:color w:val="000000"/>
          <w:sz w:val="22"/>
        </w:rPr>
        <w:t>The Authority is required to charge an annual provision to revenue as a contribution towards reducing its overall borrowing requirement. This provision, known as the Minimum Revenue Provision (MRP), is an amount calculated on a prudent basis determined by the Authority in accordance with statutory guidance.</w:t>
      </w:r>
      <w:r w:rsidR="00AE0DA1">
        <w:rPr>
          <w:rFonts w:ascii="Arial" w:hAnsi="Arial" w:cs="Arial"/>
          <w:color w:val="000000"/>
          <w:sz w:val="22"/>
        </w:rPr>
        <w:t xml:space="preserve"> No minimum revenue provision is currently charged on the debt acquired in relation to Housing Revenue Account self-financing as this is outside the scope of this regime.</w:t>
      </w:r>
    </w:p>
    <w:p w:rsidR="00A37ECD" w:rsidRDefault="00A37ECD" w:rsidP="00AE0DA1">
      <w:pPr>
        <w:ind w:left="426"/>
        <w:rPr>
          <w:rFonts w:ascii="Arial" w:hAnsi="Arial" w:cs="Arial"/>
          <w:color w:val="000000"/>
          <w:sz w:val="22"/>
        </w:rPr>
      </w:pPr>
    </w:p>
    <w:p w:rsidR="0020574F" w:rsidRDefault="00AE0DA1" w:rsidP="00AE0DA1">
      <w:pPr>
        <w:ind w:left="426"/>
        <w:rPr>
          <w:rFonts w:ascii="Arial" w:hAnsi="Arial" w:cs="Arial"/>
          <w:color w:val="000000"/>
          <w:sz w:val="22"/>
        </w:rPr>
      </w:pPr>
      <w:r>
        <w:rPr>
          <w:rFonts w:ascii="Arial" w:hAnsi="Arial" w:cs="Arial"/>
          <w:color w:val="000000"/>
          <w:sz w:val="22"/>
        </w:rPr>
        <w:t>The provisions for charges to revenue for non-current assets in the HRA were amended on 1 April 2012 following the introduction of self-financing.  The Authority is required to charge the Housing Revenue Account a notional amount for depreciation; calculated in a similar way to the major repairs allowance. The notional depreciation charge is reserved to fund similar major repairs and improvement works. The transition period will continue till 2017-18, with a full depreciation charge equivalent to the whole capital adjustment transfer</w:t>
      </w:r>
      <w:r w:rsidRPr="007D7C6E">
        <w:rPr>
          <w:rFonts w:ascii="Arial" w:hAnsi="Arial" w:cs="Arial"/>
          <w:color w:val="000000"/>
          <w:sz w:val="22"/>
        </w:rPr>
        <w:t xml:space="preserve"> </w:t>
      </w:r>
      <w:r>
        <w:rPr>
          <w:rFonts w:ascii="Arial" w:hAnsi="Arial" w:cs="Arial"/>
          <w:color w:val="000000"/>
          <w:sz w:val="22"/>
        </w:rPr>
        <w:t>being charged to the Housing Revenue Account from 2018-19.</w:t>
      </w:r>
    </w:p>
    <w:p w:rsidR="00AE0DA1" w:rsidRDefault="00AE0DA1" w:rsidP="00AE0DA1">
      <w:pPr>
        <w:ind w:left="426"/>
        <w:rPr>
          <w:rFonts w:ascii="Arial" w:hAnsi="Arial" w:cs="Arial"/>
          <w:color w:val="000000"/>
          <w:sz w:val="22"/>
        </w:rPr>
      </w:pPr>
    </w:p>
    <w:p w:rsidR="0020574F" w:rsidRDefault="0020574F" w:rsidP="0020574F">
      <w:pPr>
        <w:pStyle w:val="BodyTextIndent3"/>
        <w:tabs>
          <w:tab w:val="left" w:pos="284"/>
        </w:tabs>
        <w:ind w:left="360"/>
        <w:jc w:val="left"/>
        <w:rPr>
          <w:rFonts w:ascii="Arial" w:hAnsi="Arial" w:cs="Arial"/>
          <w:color w:val="000000"/>
          <w:sz w:val="22"/>
        </w:rPr>
      </w:pPr>
    </w:p>
    <w:p w:rsidR="0020574F" w:rsidRDefault="0020574F" w:rsidP="0020574F">
      <w:pPr>
        <w:pStyle w:val="BodyTextIndent3"/>
        <w:numPr>
          <w:ilvl w:val="0"/>
          <w:numId w:val="19"/>
        </w:numPr>
        <w:tabs>
          <w:tab w:val="clear" w:pos="720"/>
          <w:tab w:val="left" w:pos="426"/>
          <w:tab w:val="num" w:pos="502"/>
        </w:tabs>
        <w:ind w:left="502" w:hanging="502"/>
        <w:jc w:val="left"/>
        <w:rPr>
          <w:rFonts w:ascii="Arial" w:hAnsi="Arial" w:cs="Arial"/>
          <w:b/>
          <w:color w:val="000080"/>
          <w:sz w:val="22"/>
        </w:rPr>
      </w:pPr>
      <w:r>
        <w:rPr>
          <w:rFonts w:ascii="Arial" w:hAnsi="Arial" w:cs="Arial"/>
          <w:b/>
          <w:color w:val="000080"/>
          <w:sz w:val="22"/>
        </w:rPr>
        <w:t>Employee Benefits</w:t>
      </w:r>
    </w:p>
    <w:p w:rsidR="0020574F" w:rsidRDefault="0020574F" w:rsidP="0020574F">
      <w:pPr>
        <w:pStyle w:val="BodyTextIndent3"/>
        <w:tabs>
          <w:tab w:val="left" w:pos="0"/>
        </w:tabs>
        <w:ind w:left="0"/>
        <w:jc w:val="left"/>
        <w:rPr>
          <w:rFonts w:ascii="Arial" w:hAnsi="Arial" w:cs="Arial"/>
          <w:b/>
          <w:color w:val="000000"/>
          <w:sz w:val="22"/>
        </w:rPr>
      </w:pPr>
    </w:p>
    <w:p w:rsidR="0020574F" w:rsidRDefault="0020574F" w:rsidP="0020574F">
      <w:pPr>
        <w:ind w:left="360"/>
        <w:rPr>
          <w:rFonts w:ascii="Arial" w:hAnsi="Arial" w:cs="Arial"/>
          <w:color w:val="000080"/>
          <w:sz w:val="22"/>
        </w:rPr>
      </w:pPr>
      <w:r>
        <w:rPr>
          <w:rFonts w:ascii="Arial" w:hAnsi="Arial" w:cs="Arial"/>
          <w:color w:val="000080"/>
          <w:sz w:val="22"/>
        </w:rPr>
        <w:t>Benefits payable during employment</w:t>
      </w:r>
    </w:p>
    <w:p w:rsidR="0020574F" w:rsidRDefault="0020574F" w:rsidP="0020574F">
      <w:pPr>
        <w:ind w:left="360"/>
        <w:rPr>
          <w:rFonts w:ascii="Arial" w:hAnsi="Arial" w:cs="Arial"/>
          <w:sz w:val="22"/>
        </w:rPr>
      </w:pPr>
    </w:p>
    <w:p w:rsidR="00AE06D2" w:rsidRPr="00AE06D2" w:rsidRDefault="00AE06D2" w:rsidP="00AE06D2">
      <w:pPr>
        <w:shd w:val="clear" w:color="auto" w:fill="FFFFFF" w:themeFill="background1"/>
        <w:ind w:left="360"/>
        <w:rPr>
          <w:rFonts w:ascii="Arial" w:hAnsi="Arial" w:cs="Arial"/>
          <w:sz w:val="22"/>
        </w:rPr>
      </w:pPr>
      <w:r w:rsidRPr="005979E3">
        <w:rPr>
          <w:rFonts w:ascii="Arial" w:hAnsi="Arial" w:cs="Arial"/>
          <w:sz w:val="22"/>
        </w:rPr>
        <w:t>Short-term employee benefits are those due to be settled within twelve months of the year-end. They include salaries and wages, paid annual leave and paid sick leave, bonuses and non-monetary benefits for current employees and are recognised as an expense for services in the year in which employees render services to the Authority. Other long term benefits are those benefits not falling wholly before twelve months after the end of the annual reporting period and are accounted for in the same manner as defined benefit post-employment benefits.</w:t>
      </w:r>
      <w:r w:rsidRPr="00AE06D2">
        <w:rPr>
          <w:rFonts w:ascii="Arial" w:hAnsi="Arial" w:cs="Arial"/>
          <w:sz w:val="22"/>
        </w:rPr>
        <w:t xml:space="preserve"> </w:t>
      </w: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r>
        <w:rPr>
          <w:rFonts w:ascii="Arial" w:hAnsi="Arial" w:cs="Arial"/>
          <w:sz w:val="22"/>
        </w:rPr>
        <w:lastRenderedPageBreak/>
        <w:t xml:space="preserve">An accrual is made for the cost of holiday entitlements and/or other forms of leave earned by employees but not taken before the year-end which employees can carry forward into the next financial year. The accrual is charged to the cost of services in the comprehensive income and expenditure account but then reversed out in the movement in reserves statement and transferred to the accumulating compensated absences adjustment account. </w:t>
      </w:r>
    </w:p>
    <w:p w:rsidR="00B95630" w:rsidRDefault="00B95630" w:rsidP="0020574F">
      <w:pPr>
        <w:ind w:left="360"/>
        <w:rPr>
          <w:rFonts w:ascii="Arial" w:hAnsi="Arial" w:cs="Arial"/>
          <w:sz w:val="22"/>
        </w:rPr>
      </w:pPr>
    </w:p>
    <w:p w:rsidR="00B95630" w:rsidRDefault="00B95630" w:rsidP="0020574F">
      <w:pPr>
        <w:ind w:left="360"/>
        <w:rPr>
          <w:rFonts w:ascii="Arial" w:hAnsi="Arial" w:cs="Arial"/>
          <w:sz w:val="22"/>
        </w:rPr>
      </w:pPr>
    </w:p>
    <w:p w:rsidR="00950B57" w:rsidRPr="00950B57" w:rsidRDefault="00950B57" w:rsidP="00950B57">
      <w:pPr>
        <w:ind w:left="426"/>
        <w:rPr>
          <w:rFonts w:ascii="Arial" w:hAnsi="Arial" w:cs="Arial"/>
          <w:color w:val="000099"/>
          <w:sz w:val="22"/>
        </w:rPr>
      </w:pPr>
      <w:r w:rsidRPr="00950B57">
        <w:rPr>
          <w:rFonts w:ascii="Arial" w:hAnsi="Arial" w:cs="Arial"/>
          <w:color w:val="000099"/>
          <w:sz w:val="22"/>
        </w:rPr>
        <w:t>Other long term benefits</w:t>
      </w:r>
    </w:p>
    <w:p w:rsidR="0020574F" w:rsidRDefault="0020574F" w:rsidP="0020574F">
      <w:pPr>
        <w:ind w:left="360"/>
        <w:rPr>
          <w:rFonts w:ascii="Arial" w:hAnsi="Arial" w:cs="Arial"/>
          <w:sz w:val="22"/>
        </w:rPr>
      </w:pPr>
    </w:p>
    <w:p w:rsidR="00950B57" w:rsidRDefault="00950B57" w:rsidP="00950B57">
      <w:pPr>
        <w:ind w:left="426"/>
        <w:rPr>
          <w:rFonts w:ascii="Arial" w:hAnsi="Arial" w:cs="Arial"/>
          <w:sz w:val="22"/>
        </w:rPr>
      </w:pPr>
      <w:r>
        <w:rPr>
          <w:rFonts w:ascii="Arial" w:hAnsi="Arial" w:cs="Arial"/>
          <w:sz w:val="22"/>
        </w:rPr>
        <w:t>Long term benefits are all employee benefits other than short-term employee benefits, post-employment benefits and termination benefits</w:t>
      </w:r>
    </w:p>
    <w:p w:rsidR="00950B57" w:rsidRDefault="00950B57" w:rsidP="0020574F">
      <w:pPr>
        <w:ind w:left="360"/>
        <w:rPr>
          <w:rFonts w:ascii="Arial" w:hAnsi="Arial" w:cs="Arial"/>
          <w:sz w:val="22"/>
        </w:rPr>
      </w:pPr>
    </w:p>
    <w:p w:rsidR="00B95630" w:rsidRDefault="00B95630" w:rsidP="0020574F">
      <w:pPr>
        <w:ind w:left="360"/>
        <w:rPr>
          <w:rFonts w:ascii="Arial" w:hAnsi="Arial" w:cs="Arial"/>
          <w:sz w:val="22"/>
        </w:rPr>
      </w:pPr>
    </w:p>
    <w:p w:rsidR="0020574F" w:rsidRDefault="0020574F" w:rsidP="00950B57">
      <w:pPr>
        <w:ind w:left="426"/>
        <w:rPr>
          <w:rFonts w:ascii="Arial" w:hAnsi="Arial" w:cs="Arial"/>
          <w:color w:val="000080"/>
          <w:sz w:val="22"/>
        </w:rPr>
      </w:pPr>
      <w:r>
        <w:rPr>
          <w:rFonts w:ascii="Arial" w:hAnsi="Arial" w:cs="Arial"/>
          <w:color w:val="000080"/>
          <w:sz w:val="22"/>
        </w:rPr>
        <w:t xml:space="preserve">Termination benefits </w:t>
      </w:r>
    </w:p>
    <w:p w:rsidR="0020574F" w:rsidRDefault="0020574F" w:rsidP="00950B57">
      <w:pPr>
        <w:ind w:left="426"/>
        <w:rPr>
          <w:rFonts w:ascii="Arial" w:hAnsi="Arial" w:cs="Arial"/>
          <w:sz w:val="22"/>
        </w:rPr>
      </w:pPr>
    </w:p>
    <w:p w:rsidR="002C3349" w:rsidRPr="002C3349" w:rsidRDefault="002C3349" w:rsidP="002C3349">
      <w:pPr>
        <w:ind w:left="426"/>
        <w:rPr>
          <w:rFonts w:ascii="Arial" w:hAnsi="Arial" w:cs="Arial"/>
          <w:sz w:val="22"/>
        </w:rPr>
      </w:pPr>
      <w:r w:rsidRPr="002C3349">
        <w:rPr>
          <w:rFonts w:ascii="Arial" w:hAnsi="Arial" w:cs="Arial"/>
          <w:sz w:val="22"/>
        </w:rPr>
        <w:t>Termination benefits are amounts payable as a result of a decision by the Authority to terminate an officer’s employment before the normal retirement date or an officer’s decision to accept voluntary redundancy and, are charged on an accruals basis to the relevant service account or, where applicable, to Non Distributed Costs in the Comprehensive Income and Expenditure account at the earlier of when the authority can no longer withdraw the offer of those benefits, or when the authority recognises the costs for a restructuring that is within the scope of the Code and involves the payment of termination benefits.</w:t>
      </w:r>
    </w:p>
    <w:p w:rsidR="0020574F" w:rsidRDefault="0020574F" w:rsidP="00950B57">
      <w:pPr>
        <w:ind w:left="426"/>
        <w:rPr>
          <w:rFonts w:ascii="Arial" w:hAnsi="Arial" w:cs="Arial"/>
          <w:sz w:val="22"/>
        </w:rPr>
      </w:pPr>
    </w:p>
    <w:p w:rsidR="006F4C82" w:rsidRPr="00A1143B" w:rsidRDefault="006F4C82" w:rsidP="00950B57">
      <w:pPr>
        <w:ind w:left="426"/>
        <w:rPr>
          <w:rFonts w:ascii="Arial" w:hAnsi="Arial" w:cs="Arial"/>
          <w:sz w:val="22"/>
        </w:rPr>
      </w:pPr>
      <w:r w:rsidRPr="00A1143B">
        <w:rPr>
          <w:rFonts w:ascii="Arial" w:hAnsi="Arial" w:cs="Arial"/>
          <w:sz w:val="22"/>
        </w:rPr>
        <w:t>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year end.</w:t>
      </w:r>
    </w:p>
    <w:p w:rsidR="00C555E8" w:rsidRDefault="00C555E8" w:rsidP="0020574F">
      <w:pPr>
        <w:ind w:left="360"/>
        <w:rPr>
          <w:rFonts w:ascii="Arial" w:hAnsi="Arial" w:cs="Arial"/>
          <w:sz w:val="22"/>
        </w:rPr>
      </w:pPr>
    </w:p>
    <w:p w:rsidR="00B95630" w:rsidRDefault="00B95630" w:rsidP="0020574F">
      <w:pPr>
        <w:ind w:left="360"/>
        <w:rPr>
          <w:rFonts w:ascii="Arial" w:hAnsi="Arial" w:cs="Arial"/>
          <w:sz w:val="22"/>
        </w:rPr>
      </w:pPr>
    </w:p>
    <w:p w:rsidR="0020574F" w:rsidRDefault="002608E7" w:rsidP="0020574F">
      <w:pPr>
        <w:ind w:left="426"/>
        <w:rPr>
          <w:rFonts w:ascii="Arial" w:hAnsi="Arial" w:cs="Arial"/>
          <w:color w:val="000080"/>
          <w:sz w:val="22"/>
        </w:rPr>
      </w:pPr>
      <w:r>
        <w:rPr>
          <w:rFonts w:ascii="Arial" w:hAnsi="Arial" w:cs="Arial"/>
          <w:color w:val="000080"/>
          <w:sz w:val="22"/>
        </w:rPr>
        <w:t>Post-</w:t>
      </w:r>
      <w:r w:rsidR="0020574F">
        <w:rPr>
          <w:rFonts w:ascii="Arial" w:hAnsi="Arial" w:cs="Arial"/>
          <w:color w:val="000080"/>
          <w:sz w:val="22"/>
        </w:rPr>
        <w:t>employment benefits</w:t>
      </w:r>
    </w:p>
    <w:p w:rsidR="0020574F" w:rsidRDefault="0020574F" w:rsidP="0020574F">
      <w:pPr>
        <w:ind w:left="360"/>
        <w:rPr>
          <w:rFonts w:ascii="Arial" w:hAnsi="Arial" w:cs="Arial"/>
          <w:sz w:val="22"/>
        </w:rPr>
      </w:pPr>
    </w:p>
    <w:p w:rsidR="00B43E1F" w:rsidRDefault="00B43E1F" w:rsidP="003E7C85">
      <w:pPr>
        <w:ind w:left="426" w:hanging="66"/>
        <w:rPr>
          <w:rFonts w:ascii="Arial" w:hAnsi="Arial" w:cs="Arial"/>
          <w:sz w:val="22"/>
        </w:rPr>
      </w:pPr>
      <w:r>
        <w:rPr>
          <w:rFonts w:ascii="Arial" w:hAnsi="Arial" w:cs="Arial"/>
          <w:sz w:val="22"/>
        </w:rPr>
        <w:t xml:space="preserve"> Post-employment benefits </w:t>
      </w:r>
      <w:r w:rsidR="003E7C85">
        <w:rPr>
          <w:rFonts w:ascii="Arial" w:hAnsi="Arial" w:cs="Arial"/>
          <w:sz w:val="22"/>
        </w:rPr>
        <w:t>are employee benefits (other than termination and short-term benefits) that are payable after the completion of employment.</w:t>
      </w:r>
    </w:p>
    <w:p w:rsidR="003E7C85" w:rsidRDefault="003E7C85" w:rsidP="003E7C85">
      <w:pPr>
        <w:ind w:left="426" w:hanging="66"/>
        <w:rPr>
          <w:rFonts w:ascii="Arial" w:hAnsi="Arial" w:cs="Arial"/>
          <w:sz w:val="22"/>
        </w:rPr>
      </w:pPr>
    </w:p>
    <w:p w:rsidR="0020574F" w:rsidRDefault="0020574F" w:rsidP="0020574F">
      <w:pPr>
        <w:ind w:left="426"/>
        <w:rPr>
          <w:rFonts w:ascii="Arial" w:hAnsi="Arial" w:cs="Arial"/>
          <w:sz w:val="22"/>
        </w:rPr>
      </w:pPr>
      <w:r>
        <w:rPr>
          <w:rFonts w:ascii="Arial" w:hAnsi="Arial" w:cs="Arial"/>
          <w:sz w:val="22"/>
        </w:rPr>
        <w:t>Employees and Councillors of the Authority are eligible to be members of the Local Government Pension Scheme, administered by Cambridgeshire County Council, which is accounted for as a defined benefit scheme whereby:</w:t>
      </w:r>
    </w:p>
    <w:p w:rsidR="0020574F" w:rsidRDefault="0020574F" w:rsidP="0020574F">
      <w:pPr>
        <w:ind w:left="426"/>
        <w:rPr>
          <w:rFonts w:ascii="Arial" w:hAnsi="Arial" w:cs="Arial"/>
          <w:sz w:val="22"/>
        </w:rPr>
      </w:pPr>
    </w:p>
    <w:p w:rsidR="0020574F" w:rsidRDefault="0020574F" w:rsidP="0020574F">
      <w:pPr>
        <w:numPr>
          <w:ilvl w:val="0"/>
          <w:numId w:val="14"/>
        </w:numPr>
        <w:tabs>
          <w:tab w:val="clear" w:pos="1080"/>
          <w:tab w:val="num" w:pos="851"/>
        </w:tabs>
        <w:ind w:left="851" w:hanging="425"/>
        <w:rPr>
          <w:rFonts w:ascii="Arial" w:hAnsi="Arial" w:cs="Arial"/>
          <w:sz w:val="22"/>
        </w:rPr>
      </w:pPr>
      <w:r>
        <w:rPr>
          <w:rFonts w:ascii="Arial" w:hAnsi="Arial" w:cs="Arial"/>
          <w:sz w:val="22"/>
        </w:rPr>
        <w:t>the Authority’s share of the liabilities of the pension fund are included in the balance sheet on an actuarial basis using the projected unit cost method, that is, an assessment of the future payments that will be made in relation to retirement benefits earned to date by employees based on assumptions about mortality rates, employee turnover rates, etc., and projections of earnings for current employees;</w:t>
      </w:r>
    </w:p>
    <w:p w:rsidR="0020574F" w:rsidRDefault="0020574F" w:rsidP="0020574F">
      <w:pPr>
        <w:tabs>
          <w:tab w:val="num" w:pos="851"/>
        </w:tabs>
        <w:ind w:left="426"/>
        <w:rPr>
          <w:rFonts w:ascii="Arial" w:hAnsi="Arial" w:cs="Arial"/>
          <w:sz w:val="22"/>
        </w:rPr>
      </w:pPr>
    </w:p>
    <w:p w:rsidR="0020574F" w:rsidRDefault="0020574F" w:rsidP="0020574F">
      <w:pPr>
        <w:numPr>
          <w:ilvl w:val="0"/>
          <w:numId w:val="14"/>
        </w:numPr>
        <w:tabs>
          <w:tab w:val="clear" w:pos="1080"/>
          <w:tab w:val="num" w:pos="851"/>
        </w:tabs>
        <w:ind w:left="851" w:hanging="425"/>
        <w:rPr>
          <w:rFonts w:ascii="Arial" w:hAnsi="Arial" w:cs="Arial"/>
          <w:sz w:val="22"/>
        </w:rPr>
      </w:pPr>
      <w:r>
        <w:rPr>
          <w:rFonts w:ascii="Arial" w:hAnsi="Arial" w:cs="Arial"/>
          <w:sz w:val="22"/>
        </w:rPr>
        <w:t>these liabilities are then discounted to their value at current prices, using a discount rate based on the indicative rate of return on high quality corporate bonds;</w:t>
      </w:r>
    </w:p>
    <w:p w:rsidR="0020574F" w:rsidRDefault="0020574F" w:rsidP="0020574F">
      <w:pPr>
        <w:ind w:left="426"/>
        <w:rPr>
          <w:rFonts w:ascii="Arial" w:hAnsi="Arial" w:cs="Arial"/>
          <w:sz w:val="22"/>
        </w:rPr>
      </w:pPr>
    </w:p>
    <w:p w:rsidR="0020574F" w:rsidRDefault="0020574F" w:rsidP="0020574F">
      <w:pPr>
        <w:numPr>
          <w:ilvl w:val="0"/>
          <w:numId w:val="14"/>
        </w:numPr>
        <w:tabs>
          <w:tab w:val="clear" w:pos="1080"/>
          <w:tab w:val="left" w:pos="851"/>
        </w:tabs>
        <w:ind w:left="851" w:hanging="425"/>
        <w:rPr>
          <w:rFonts w:ascii="Arial" w:hAnsi="Arial" w:cs="Arial"/>
          <w:sz w:val="22"/>
        </w:rPr>
      </w:pPr>
      <w:r>
        <w:rPr>
          <w:rFonts w:ascii="Arial" w:hAnsi="Arial" w:cs="Arial"/>
          <w:sz w:val="22"/>
        </w:rPr>
        <w:lastRenderedPageBreak/>
        <w:t>the Authority’s share of the assets of the pension fund are included in the balance sheet at their fair value being</w:t>
      </w:r>
    </w:p>
    <w:p w:rsidR="0020574F" w:rsidRDefault="0020574F" w:rsidP="0020574F">
      <w:pPr>
        <w:tabs>
          <w:tab w:val="left" w:pos="851"/>
        </w:tabs>
        <w:ind w:left="851" w:firstLine="850"/>
        <w:rPr>
          <w:rFonts w:ascii="Arial" w:hAnsi="Arial" w:cs="Arial"/>
          <w:sz w:val="22"/>
        </w:rPr>
      </w:pPr>
      <w:proofErr w:type="gramStart"/>
      <w:r>
        <w:rPr>
          <w:rFonts w:ascii="Arial" w:hAnsi="Arial" w:cs="Arial"/>
          <w:sz w:val="22"/>
        </w:rPr>
        <w:t>quoted</w:t>
      </w:r>
      <w:proofErr w:type="gramEnd"/>
      <w:r>
        <w:rPr>
          <w:rFonts w:ascii="Arial" w:hAnsi="Arial" w:cs="Arial"/>
          <w:sz w:val="22"/>
        </w:rPr>
        <w:t xml:space="preserve"> securities         current bid price</w:t>
      </w:r>
    </w:p>
    <w:p w:rsidR="0020574F" w:rsidRDefault="0020574F" w:rsidP="0020574F">
      <w:pPr>
        <w:tabs>
          <w:tab w:val="left" w:pos="851"/>
        </w:tabs>
        <w:ind w:left="851" w:firstLine="850"/>
        <w:rPr>
          <w:rFonts w:ascii="Arial" w:hAnsi="Arial" w:cs="Arial"/>
          <w:sz w:val="22"/>
        </w:rPr>
      </w:pPr>
      <w:proofErr w:type="gramStart"/>
      <w:r>
        <w:rPr>
          <w:rFonts w:ascii="Arial" w:hAnsi="Arial" w:cs="Arial"/>
          <w:sz w:val="22"/>
        </w:rPr>
        <w:t>unquoted</w:t>
      </w:r>
      <w:proofErr w:type="gramEnd"/>
      <w:r>
        <w:rPr>
          <w:rFonts w:ascii="Arial" w:hAnsi="Arial" w:cs="Arial"/>
          <w:sz w:val="22"/>
        </w:rPr>
        <w:t xml:space="preserve"> securities     professional estimate</w:t>
      </w:r>
    </w:p>
    <w:p w:rsidR="0020574F" w:rsidRDefault="0020574F" w:rsidP="0020574F">
      <w:pPr>
        <w:tabs>
          <w:tab w:val="left" w:pos="851"/>
        </w:tabs>
        <w:ind w:left="851" w:firstLine="850"/>
        <w:rPr>
          <w:rFonts w:ascii="Arial" w:hAnsi="Arial" w:cs="Arial"/>
          <w:sz w:val="22"/>
        </w:rPr>
      </w:pPr>
      <w:proofErr w:type="gramStart"/>
      <w:r>
        <w:rPr>
          <w:rFonts w:ascii="Arial" w:hAnsi="Arial" w:cs="Arial"/>
          <w:sz w:val="22"/>
        </w:rPr>
        <w:t>unitised</w:t>
      </w:r>
      <w:proofErr w:type="gramEnd"/>
      <w:r>
        <w:rPr>
          <w:rFonts w:ascii="Arial" w:hAnsi="Arial" w:cs="Arial"/>
          <w:sz w:val="22"/>
        </w:rPr>
        <w:t xml:space="preserve"> securities       current bid price</w:t>
      </w:r>
    </w:p>
    <w:p w:rsidR="0020574F" w:rsidRDefault="0020574F" w:rsidP="0020574F">
      <w:pPr>
        <w:tabs>
          <w:tab w:val="left" w:pos="851"/>
        </w:tabs>
        <w:ind w:left="851" w:firstLine="850"/>
        <w:rPr>
          <w:rFonts w:ascii="Arial" w:hAnsi="Arial" w:cs="Arial"/>
          <w:sz w:val="22"/>
        </w:rPr>
      </w:pPr>
      <w:proofErr w:type="gramStart"/>
      <w:r>
        <w:rPr>
          <w:rFonts w:ascii="Arial" w:hAnsi="Arial" w:cs="Arial"/>
          <w:sz w:val="22"/>
        </w:rPr>
        <w:t>property</w:t>
      </w:r>
      <w:proofErr w:type="gramEnd"/>
      <w:r>
        <w:rPr>
          <w:rFonts w:ascii="Arial" w:hAnsi="Arial" w:cs="Arial"/>
          <w:sz w:val="22"/>
        </w:rPr>
        <w:t xml:space="preserve">                       market value;</w:t>
      </w:r>
    </w:p>
    <w:p w:rsidR="0020574F" w:rsidRDefault="0020574F" w:rsidP="0020574F">
      <w:pPr>
        <w:ind w:left="426"/>
        <w:rPr>
          <w:rFonts w:ascii="Arial" w:hAnsi="Arial" w:cs="Arial"/>
          <w:sz w:val="22"/>
        </w:rPr>
      </w:pPr>
    </w:p>
    <w:p w:rsidR="0020574F" w:rsidRDefault="0020574F" w:rsidP="0020574F">
      <w:pPr>
        <w:numPr>
          <w:ilvl w:val="0"/>
          <w:numId w:val="14"/>
        </w:numPr>
        <w:tabs>
          <w:tab w:val="clear" w:pos="1080"/>
          <w:tab w:val="num" w:pos="851"/>
        </w:tabs>
        <w:ind w:left="426" w:firstLine="0"/>
        <w:rPr>
          <w:rFonts w:ascii="Arial" w:hAnsi="Arial" w:cs="Arial"/>
          <w:sz w:val="22"/>
        </w:rPr>
      </w:pPr>
      <w:r>
        <w:rPr>
          <w:rFonts w:ascii="Arial" w:hAnsi="Arial" w:cs="Arial"/>
          <w:sz w:val="22"/>
        </w:rPr>
        <w:t>the change in the net pensions liability is analysed into seven components:</w:t>
      </w:r>
    </w:p>
    <w:p w:rsidR="0020574F" w:rsidRDefault="0020574F" w:rsidP="0020574F">
      <w:pPr>
        <w:ind w:left="426"/>
        <w:rPr>
          <w:rFonts w:ascii="Arial" w:hAnsi="Arial" w:cs="Arial"/>
          <w:sz w:val="22"/>
        </w:rPr>
      </w:pPr>
    </w:p>
    <w:p w:rsidR="0020574F" w:rsidRDefault="0020574F" w:rsidP="0020574F">
      <w:pPr>
        <w:numPr>
          <w:ilvl w:val="1"/>
          <w:numId w:val="14"/>
        </w:numPr>
        <w:tabs>
          <w:tab w:val="num" w:pos="993"/>
        </w:tabs>
        <w:ind w:left="993" w:firstLine="0"/>
        <w:rPr>
          <w:rFonts w:ascii="Arial" w:hAnsi="Arial" w:cs="Arial"/>
          <w:sz w:val="22"/>
        </w:rPr>
      </w:pPr>
      <w:r>
        <w:rPr>
          <w:rFonts w:ascii="Arial" w:hAnsi="Arial" w:cs="Arial"/>
          <w:sz w:val="22"/>
        </w:rPr>
        <w:t>current service cost being the increase in liabilities as a result of the years of service earned in the current year where the cost is allocated in the comprehensive income and expenditure account to the services on which the employees worked;</w:t>
      </w:r>
    </w:p>
    <w:p w:rsidR="0020574F" w:rsidRDefault="0020574F" w:rsidP="0020574F">
      <w:pPr>
        <w:ind w:left="993"/>
        <w:rPr>
          <w:rFonts w:ascii="Arial" w:hAnsi="Arial" w:cs="Arial"/>
          <w:sz w:val="22"/>
        </w:rPr>
      </w:pPr>
      <w:r>
        <w:rPr>
          <w:rFonts w:ascii="Arial" w:hAnsi="Arial" w:cs="Arial"/>
          <w:sz w:val="22"/>
        </w:rPr>
        <w:t xml:space="preserve"> </w:t>
      </w:r>
    </w:p>
    <w:p w:rsidR="0020574F" w:rsidRDefault="0020574F" w:rsidP="000A77CA">
      <w:pPr>
        <w:numPr>
          <w:ilvl w:val="1"/>
          <w:numId w:val="14"/>
        </w:numPr>
        <w:tabs>
          <w:tab w:val="num" w:pos="993"/>
        </w:tabs>
        <w:ind w:left="993" w:firstLine="0"/>
        <w:rPr>
          <w:rFonts w:ascii="Arial" w:hAnsi="Arial" w:cs="Arial"/>
          <w:sz w:val="22"/>
        </w:rPr>
      </w:pPr>
      <w:r>
        <w:rPr>
          <w:rFonts w:ascii="Arial" w:hAnsi="Arial" w:cs="Arial"/>
          <w:sz w:val="22"/>
        </w:rPr>
        <w:t>past service cost being the increase or decrease in liabilities arising from decisions in the current year affecting liabilities incurred in past years where the cost is charged or credited to non-distributed costs in the comprehensive income and expenditure account;</w:t>
      </w:r>
    </w:p>
    <w:p w:rsidR="0020574F" w:rsidRDefault="0020574F" w:rsidP="0020574F">
      <w:pPr>
        <w:ind w:left="993"/>
        <w:rPr>
          <w:rFonts w:ascii="Arial" w:hAnsi="Arial" w:cs="Arial"/>
          <w:sz w:val="22"/>
        </w:rPr>
      </w:pPr>
    </w:p>
    <w:p w:rsidR="0020574F" w:rsidRPr="002C3349" w:rsidRDefault="002C3349" w:rsidP="0020574F">
      <w:pPr>
        <w:numPr>
          <w:ilvl w:val="1"/>
          <w:numId w:val="14"/>
        </w:numPr>
        <w:tabs>
          <w:tab w:val="num" w:pos="993"/>
        </w:tabs>
        <w:ind w:left="993" w:firstLine="0"/>
        <w:rPr>
          <w:rFonts w:ascii="Arial" w:hAnsi="Arial" w:cs="Arial"/>
          <w:color w:val="000000" w:themeColor="text1"/>
          <w:sz w:val="22"/>
          <w:szCs w:val="22"/>
        </w:rPr>
      </w:pPr>
      <w:r>
        <w:rPr>
          <w:rFonts w:ascii="Arial" w:hAnsi="Arial" w:cs="Arial"/>
          <w:sz w:val="22"/>
        </w:rPr>
        <w:t xml:space="preserve">net </w:t>
      </w:r>
      <w:r w:rsidR="0020574F">
        <w:rPr>
          <w:rFonts w:ascii="Arial" w:hAnsi="Arial" w:cs="Arial"/>
          <w:sz w:val="22"/>
        </w:rPr>
        <w:t xml:space="preserve">interest </w:t>
      </w:r>
      <w:r w:rsidRPr="002C3349">
        <w:rPr>
          <w:rFonts w:ascii="Arial" w:hAnsi="Arial" w:cs="Arial"/>
          <w:color w:val="000000" w:themeColor="text1"/>
          <w:sz w:val="22"/>
          <w:szCs w:val="22"/>
        </w:rPr>
        <w:t xml:space="preserve">on the net defined benefit liability (asset), that is, the net interest expense for the authority being the change during the period in the net defined benefit liability (asset) that arises from the passage of time charged where the cost is charged to </w:t>
      </w:r>
      <w:r w:rsidR="005979E3">
        <w:rPr>
          <w:rFonts w:ascii="Arial" w:hAnsi="Arial" w:cs="Arial"/>
          <w:color w:val="000000" w:themeColor="text1"/>
          <w:sz w:val="22"/>
          <w:szCs w:val="22"/>
        </w:rPr>
        <w:t>f</w:t>
      </w:r>
      <w:r w:rsidRPr="002C3349">
        <w:rPr>
          <w:rFonts w:ascii="Arial" w:hAnsi="Arial" w:cs="Arial"/>
          <w:color w:val="000000" w:themeColor="text1"/>
          <w:sz w:val="22"/>
          <w:szCs w:val="22"/>
        </w:rPr>
        <w:t xml:space="preserve">inancing and </w:t>
      </w:r>
      <w:r w:rsidR="005979E3">
        <w:rPr>
          <w:rFonts w:ascii="Arial" w:hAnsi="Arial" w:cs="Arial"/>
          <w:color w:val="000000" w:themeColor="text1"/>
          <w:sz w:val="22"/>
          <w:szCs w:val="22"/>
        </w:rPr>
        <w:t>i</w:t>
      </w:r>
      <w:r w:rsidRPr="002C3349">
        <w:rPr>
          <w:rFonts w:ascii="Arial" w:hAnsi="Arial" w:cs="Arial"/>
          <w:color w:val="000000" w:themeColor="text1"/>
          <w:sz w:val="22"/>
          <w:szCs w:val="22"/>
        </w:rPr>
        <w:t xml:space="preserve">nvestment </w:t>
      </w:r>
      <w:r w:rsidR="005979E3">
        <w:rPr>
          <w:rFonts w:ascii="Arial" w:hAnsi="Arial" w:cs="Arial"/>
          <w:color w:val="000000" w:themeColor="text1"/>
          <w:sz w:val="22"/>
          <w:szCs w:val="22"/>
        </w:rPr>
        <w:t>i</w:t>
      </w:r>
      <w:r w:rsidRPr="002C3349">
        <w:rPr>
          <w:rFonts w:ascii="Arial" w:hAnsi="Arial" w:cs="Arial"/>
          <w:color w:val="000000" w:themeColor="text1"/>
          <w:sz w:val="22"/>
          <w:szCs w:val="22"/>
        </w:rPr>
        <w:t xml:space="preserve">ncome and </w:t>
      </w:r>
      <w:r w:rsidR="005979E3">
        <w:rPr>
          <w:rFonts w:ascii="Arial" w:hAnsi="Arial" w:cs="Arial"/>
          <w:color w:val="000000" w:themeColor="text1"/>
          <w:sz w:val="22"/>
          <w:szCs w:val="22"/>
        </w:rPr>
        <w:t>e</w:t>
      </w:r>
      <w:r w:rsidRPr="002C3349">
        <w:rPr>
          <w:rFonts w:ascii="Arial" w:hAnsi="Arial" w:cs="Arial"/>
          <w:color w:val="000000" w:themeColor="text1"/>
          <w:sz w:val="22"/>
          <w:szCs w:val="22"/>
        </w:rPr>
        <w:t>xpenditure i</w:t>
      </w:r>
      <w:r w:rsidR="005979E3">
        <w:rPr>
          <w:rFonts w:ascii="Arial" w:hAnsi="Arial" w:cs="Arial"/>
          <w:color w:val="000000" w:themeColor="text1"/>
          <w:sz w:val="22"/>
          <w:szCs w:val="22"/>
        </w:rPr>
        <w:t>n the comprehensive income and e</w:t>
      </w:r>
      <w:r w:rsidRPr="002C3349">
        <w:rPr>
          <w:rFonts w:ascii="Arial" w:hAnsi="Arial" w:cs="Arial"/>
          <w:color w:val="000000" w:themeColor="text1"/>
          <w:sz w:val="22"/>
          <w:szCs w:val="22"/>
        </w:rPr>
        <w:t>xpenditure Statement.</w:t>
      </w:r>
      <w:r w:rsidR="0020574F" w:rsidRPr="002C3349">
        <w:rPr>
          <w:rFonts w:ascii="Arial" w:hAnsi="Arial" w:cs="Arial"/>
          <w:color w:val="000000" w:themeColor="text1"/>
          <w:sz w:val="22"/>
          <w:szCs w:val="22"/>
        </w:rPr>
        <w:t>;</w:t>
      </w:r>
    </w:p>
    <w:p w:rsidR="0020574F" w:rsidRDefault="0020574F" w:rsidP="0020574F">
      <w:pPr>
        <w:ind w:left="993"/>
        <w:rPr>
          <w:rFonts w:ascii="Arial" w:hAnsi="Arial" w:cs="Arial"/>
          <w:sz w:val="22"/>
        </w:rPr>
      </w:pPr>
    </w:p>
    <w:p w:rsidR="005979E3" w:rsidRDefault="005979E3" w:rsidP="0020574F">
      <w:pPr>
        <w:ind w:left="993"/>
        <w:rPr>
          <w:rFonts w:ascii="Arial" w:hAnsi="Arial" w:cs="Arial"/>
          <w:sz w:val="22"/>
        </w:rPr>
      </w:pPr>
      <w:r>
        <w:rPr>
          <w:rFonts w:ascii="Arial" w:hAnsi="Arial" w:cs="Arial"/>
          <w:sz w:val="22"/>
        </w:rPr>
        <w:t>Remeasurements comprising:</w:t>
      </w:r>
    </w:p>
    <w:p w:rsidR="0020574F" w:rsidRDefault="0020574F" w:rsidP="0020574F">
      <w:pPr>
        <w:numPr>
          <w:ilvl w:val="1"/>
          <w:numId w:val="14"/>
        </w:numPr>
        <w:tabs>
          <w:tab w:val="num" w:pos="993"/>
        </w:tabs>
        <w:ind w:left="993" w:firstLine="0"/>
        <w:rPr>
          <w:rFonts w:ascii="Arial" w:hAnsi="Arial" w:cs="Arial"/>
          <w:sz w:val="22"/>
        </w:rPr>
      </w:pPr>
      <w:r>
        <w:rPr>
          <w:rFonts w:ascii="Arial" w:hAnsi="Arial" w:cs="Arial"/>
          <w:sz w:val="22"/>
        </w:rPr>
        <w:t>expected return on assets being expected annual investment return on the fund assets</w:t>
      </w:r>
      <w:r w:rsidR="005979E3">
        <w:rPr>
          <w:rFonts w:ascii="Arial" w:hAnsi="Arial" w:cs="Arial"/>
          <w:sz w:val="22"/>
        </w:rPr>
        <w:t>,</w:t>
      </w:r>
      <w:r>
        <w:rPr>
          <w:rFonts w:ascii="Arial" w:hAnsi="Arial" w:cs="Arial"/>
          <w:sz w:val="22"/>
        </w:rPr>
        <w:t xml:space="preserve"> </w:t>
      </w:r>
      <w:r w:rsidR="005979E3" w:rsidRPr="005979E3">
        <w:rPr>
          <w:rFonts w:ascii="Arial" w:hAnsi="Arial" w:cs="Arial"/>
          <w:color w:val="000000" w:themeColor="text1"/>
          <w:sz w:val="22"/>
          <w:szCs w:val="22"/>
        </w:rPr>
        <w:t>excluding amounts included in net interest on the defined benefit liability (asset),</w:t>
      </w:r>
      <w:r w:rsidR="005979E3">
        <w:rPr>
          <w:rFonts w:ascii="Arial" w:hAnsi="Arial" w:cs="Arial"/>
          <w:color w:val="000000" w:themeColor="text1"/>
          <w:sz w:val="22"/>
          <w:szCs w:val="22"/>
        </w:rPr>
        <w:t xml:space="preserve"> </w:t>
      </w:r>
      <w:r w:rsidRPr="005979E3">
        <w:rPr>
          <w:rFonts w:ascii="Arial" w:hAnsi="Arial" w:cs="Arial"/>
          <w:color w:val="000000" w:themeColor="text1"/>
          <w:sz w:val="22"/>
          <w:szCs w:val="22"/>
        </w:rPr>
        <w:t>ba</w:t>
      </w:r>
      <w:r w:rsidRPr="005979E3">
        <w:rPr>
          <w:rFonts w:ascii="Arial" w:hAnsi="Arial" w:cs="Arial"/>
          <w:color w:val="000000" w:themeColor="text1"/>
          <w:sz w:val="22"/>
        </w:rPr>
        <w:t xml:space="preserve">sed </w:t>
      </w:r>
      <w:r>
        <w:rPr>
          <w:rFonts w:ascii="Arial" w:hAnsi="Arial" w:cs="Arial"/>
          <w:sz w:val="22"/>
        </w:rPr>
        <w:t>on the average of the expected long term returns where the return is credited to the financing and investment section of the comprehensive income and expenditure account;</w:t>
      </w:r>
    </w:p>
    <w:p w:rsidR="0020574F" w:rsidRDefault="0020574F" w:rsidP="0020574F">
      <w:pPr>
        <w:ind w:left="993"/>
        <w:rPr>
          <w:rFonts w:ascii="Arial" w:hAnsi="Arial" w:cs="Arial"/>
          <w:sz w:val="22"/>
        </w:rPr>
      </w:pPr>
    </w:p>
    <w:p w:rsidR="0020574F" w:rsidRDefault="0020574F" w:rsidP="0020574F">
      <w:pPr>
        <w:numPr>
          <w:ilvl w:val="1"/>
          <w:numId w:val="14"/>
        </w:numPr>
        <w:tabs>
          <w:tab w:val="num" w:pos="993"/>
        </w:tabs>
        <w:ind w:left="993" w:firstLine="0"/>
        <w:rPr>
          <w:rFonts w:ascii="Arial" w:hAnsi="Arial" w:cs="Arial"/>
          <w:sz w:val="22"/>
        </w:rPr>
      </w:pPr>
      <w:r>
        <w:rPr>
          <w:rFonts w:ascii="Arial" w:hAnsi="Arial" w:cs="Arial"/>
          <w:sz w:val="22"/>
        </w:rPr>
        <w:t>gains or losses on settlements, being the result of actions to relieve the Authority of liabilities, and curtailments, being events that reduce the expected future service or accrual of benefits of employees, where the gains or losses are credited or charged to non-distributed costs in the comprehensive income and expenditure account;</w:t>
      </w:r>
    </w:p>
    <w:p w:rsidR="0020574F" w:rsidRDefault="0020574F" w:rsidP="0020574F">
      <w:pPr>
        <w:ind w:left="993"/>
        <w:rPr>
          <w:rFonts w:ascii="Arial" w:hAnsi="Arial" w:cs="Arial"/>
          <w:sz w:val="22"/>
        </w:rPr>
      </w:pPr>
      <w:r>
        <w:rPr>
          <w:rFonts w:ascii="Arial" w:hAnsi="Arial" w:cs="Arial"/>
          <w:sz w:val="22"/>
        </w:rPr>
        <w:t xml:space="preserve"> </w:t>
      </w:r>
    </w:p>
    <w:p w:rsidR="0020574F" w:rsidRDefault="0020574F" w:rsidP="0020574F">
      <w:pPr>
        <w:numPr>
          <w:ilvl w:val="1"/>
          <w:numId w:val="14"/>
        </w:numPr>
        <w:tabs>
          <w:tab w:val="num" w:pos="993"/>
        </w:tabs>
        <w:ind w:left="993" w:firstLine="0"/>
        <w:rPr>
          <w:rFonts w:ascii="Arial" w:hAnsi="Arial" w:cs="Arial"/>
          <w:sz w:val="22"/>
        </w:rPr>
      </w:pPr>
      <w:r>
        <w:rPr>
          <w:rFonts w:ascii="Arial" w:hAnsi="Arial" w:cs="Arial"/>
          <w:sz w:val="22"/>
        </w:rPr>
        <w:t xml:space="preserve">actuarial gains and losses being changes in the net pensions liability that arise because events have not coincided with assumptions made at the last actuarial valuation or because the actuaries have updated their assumptions where the gains and losses are credited or charged to the pensions reserve; and </w:t>
      </w:r>
    </w:p>
    <w:p w:rsidR="0020574F" w:rsidRDefault="0020574F" w:rsidP="0020574F">
      <w:pPr>
        <w:ind w:left="993"/>
        <w:rPr>
          <w:rFonts w:ascii="Arial" w:hAnsi="Arial" w:cs="Arial"/>
          <w:sz w:val="22"/>
        </w:rPr>
      </w:pPr>
      <w:r>
        <w:rPr>
          <w:rFonts w:ascii="Arial" w:hAnsi="Arial" w:cs="Arial"/>
          <w:sz w:val="22"/>
        </w:rPr>
        <w:t xml:space="preserve">  </w:t>
      </w:r>
    </w:p>
    <w:p w:rsidR="005979E3" w:rsidRPr="005979E3" w:rsidRDefault="0020574F" w:rsidP="00B95630">
      <w:pPr>
        <w:numPr>
          <w:ilvl w:val="1"/>
          <w:numId w:val="14"/>
        </w:numPr>
        <w:tabs>
          <w:tab w:val="clear" w:pos="748"/>
          <w:tab w:val="num" w:pos="851"/>
          <w:tab w:val="num" w:pos="993"/>
          <w:tab w:val="num" w:pos="1031"/>
        </w:tabs>
        <w:ind w:left="993" w:firstLine="0"/>
        <w:rPr>
          <w:rFonts w:ascii="Arial" w:hAnsi="Arial" w:cs="Arial"/>
          <w:sz w:val="22"/>
        </w:rPr>
      </w:pPr>
      <w:r>
        <w:rPr>
          <w:rFonts w:ascii="Arial" w:hAnsi="Arial" w:cs="Arial"/>
          <w:sz w:val="22"/>
        </w:rPr>
        <w:t>contributions paid to the pension fund in the year being the payments ma</w:t>
      </w:r>
      <w:r w:rsidR="005979E3">
        <w:rPr>
          <w:rFonts w:ascii="Arial" w:hAnsi="Arial" w:cs="Arial"/>
          <w:sz w:val="22"/>
        </w:rPr>
        <w:t>de by the Authority as employer,</w:t>
      </w:r>
      <w:r w:rsidR="005979E3" w:rsidRPr="005979E3">
        <w:rPr>
          <w:rFonts w:ascii="Arial" w:hAnsi="Arial" w:cs="Arial"/>
          <w:sz w:val="22"/>
        </w:rPr>
        <w:t xml:space="preserve"> that is, cash paid as employer’s contributions to the pension fund in settlement of liabilities; not accounted for as an expense.</w:t>
      </w:r>
    </w:p>
    <w:p w:rsidR="0020574F" w:rsidRDefault="0020574F" w:rsidP="005979E3">
      <w:pPr>
        <w:tabs>
          <w:tab w:val="num" w:pos="1080"/>
        </w:tabs>
        <w:ind w:left="993"/>
        <w:rPr>
          <w:rFonts w:ascii="Arial" w:hAnsi="Arial" w:cs="Arial"/>
          <w:sz w:val="22"/>
        </w:rPr>
      </w:pPr>
    </w:p>
    <w:p w:rsidR="0020574F" w:rsidRDefault="0020574F" w:rsidP="0020574F">
      <w:pPr>
        <w:ind w:left="993"/>
        <w:rPr>
          <w:rFonts w:ascii="Arial" w:hAnsi="Arial" w:cs="Arial"/>
          <w:sz w:val="22"/>
        </w:rPr>
      </w:pPr>
    </w:p>
    <w:p w:rsidR="0020574F" w:rsidRDefault="0020574F" w:rsidP="0020574F">
      <w:pPr>
        <w:ind w:left="426"/>
        <w:rPr>
          <w:rFonts w:ascii="Arial" w:hAnsi="Arial" w:cs="Arial"/>
          <w:sz w:val="22"/>
        </w:rPr>
      </w:pPr>
      <w:r>
        <w:rPr>
          <w:rFonts w:ascii="Arial" w:hAnsi="Arial" w:cs="Arial"/>
          <w:sz w:val="22"/>
        </w:rPr>
        <w:t xml:space="preserve">The charges and credits to the comprehensive income and expenditure account mentioned above are reversed out in the movement in reserves statement to the pensions reserve and replaced with the contributions paid.  </w:t>
      </w:r>
    </w:p>
    <w:p w:rsidR="0020574F" w:rsidRDefault="0020574F" w:rsidP="0020574F">
      <w:pPr>
        <w:ind w:left="993"/>
        <w:rPr>
          <w:rFonts w:ascii="Arial" w:hAnsi="Arial" w:cs="Arial"/>
          <w:sz w:val="22"/>
        </w:rPr>
      </w:pPr>
    </w:p>
    <w:p w:rsidR="0020574F" w:rsidRDefault="0020574F" w:rsidP="0020574F">
      <w:pPr>
        <w:ind w:left="426"/>
        <w:rPr>
          <w:rFonts w:ascii="Arial" w:hAnsi="Arial" w:cs="Arial"/>
          <w:sz w:val="22"/>
        </w:rPr>
      </w:pPr>
      <w:r>
        <w:rPr>
          <w:rFonts w:ascii="Arial" w:hAnsi="Arial" w:cs="Arial"/>
          <w:sz w:val="22"/>
        </w:rPr>
        <w:t>The negative balance on the pensions reserve in the balance sheet measures the future liability in respect of benefits due to members of the fund.</w:t>
      </w:r>
    </w:p>
    <w:p w:rsidR="0020574F" w:rsidRDefault="0020574F" w:rsidP="0020574F">
      <w:pPr>
        <w:ind w:left="540"/>
        <w:rPr>
          <w:rFonts w:ascii="Arial" w:hAnsi="Arial" w:cs="Arial"/>
          <w:sz w:val="22"/>
        </w:rPr>
      </w:pPr>
    </w:p>
    <w:p w:rsidR="0020574F" w:rsidRDefault="0020574F" w:rsidP="0020574F">
      <w:pPr>
        <w:ind w:left="426"/>
        <w:rPr>
          <w:rFonts w:ascii="Arial" w:hAnsi="Arial" w:cs="Arial"/>
          <w:color w:val="000080"/>
          <w:sz w:val="22"/>
        </w:rPr>
      </w:pPr>
      <w:r>
        <w:rPr>
          <w:rFonts w:ascii="Arial" w:hAnsi="Arial" w:cs="Arial"/>
          <w:color w:val="000080"/>
          <w:sz w:val="22"/>
        </w:rPr>
        <w:lastRenderedPageBreak/>
        <w:t>Discretionary benefits</w:t>
      </w:r>
    </w:p>
    <w:p w:rsidR="0020574F" w:rsidRDefault="0020574F" w:rsidP="0020574F">
      <w:pPr>
        <w:ind w:left="540"/>
        <w:rPr>
          <w:rFonts w:ascii="Arial" w:hAnsi="Arial" w:cs="Arial"/>
          <w:sz w:val="22"/>
        </w:rPr>
      </w:pPr>
    </w:p>
    <w:p w:rsidR="0020574F" w:rsidRDefault="0020574F" w:rsidP="0020574F">
      <w:pPr>
        <w:ind w:left="426"/>
        <w:rPr>
          <w:rFonts w:ascii="Arial" w:hAnsi="Arial" w:cs="Arial"/>
          <w:sz w:val="22"/>
        </w:rPr>
      </w:pPr>
      <w:r>
        <w:rPr>
          <w:rFonts w:ascii="Arial" w:hAnsi="Arial" w:cs="Arial"/>
          <w:sz w:val="22"/>
        </w:rPr>
        <w:t>The Authority also has powers to make discretionary awards of retirement benefits in the event of early retirement. Any liabilities estimated to arise as a result of an award to any employee are accrued in the year of the decision to make the award.</w:t>
      </w:r>
    </w:p>
    <w:p w:rsidR="0020574F" w:rsidRDefault="0020574F" w:rsidP="0020574F">
      <w:pPr>
        <w:ind w:left="426"/>
        <w:rPr>
          <w:rFonts w:ascii="Arial" w:hAnsi="Arial" w:cs="Arial"/>
          <w:sz w:val="22"/>
        </w:rPr>
      </w:pPr>
    </w:p>
    <w:p w:rsidR="004D6673" w:rsidRDefault="004D6673" w:rsidP="0020574F">
      <w:pPr>
        <w:ind w:left="426"/>
        <w:rPr>
          <w:rFonts w:ascii="Arial" w:hAnsi="Arial" w:cs="Arial"/>
          <w:sz w:val="22"/>
        </w:rPr>
      </w:pPr>
    </w:p>
    <w:p w:rsidR="0020574F" w:rsidRDefault="0020574F" w:rsidP="0020574F">
      <w:pPr>
        <w:ind w:left="540"/>
        <w:rPr>
          <w:rFonts w:ascii="Arial" w:hAnsi="Arial" w:cs="Arial"/>
          <w:sz w:val="22"/>
        </w:rPr>
      </w:pPr>
    </w:p>
    <w:p w:rsidR="0020574F" w:rsidRDefault="00C90D24" w:rsidP="0020574F">
      <w:pPr>
        <w:numPr>
          <w:ilvl w:val="0"/>
          <w:numId w:val="19"/>
        </w:numPr>
        <w:tabs>
          <w:tab w:val="clear" w:pos="720"/>
          <w:tab w:val="num" w:pos="426"/>
          <w:tab w:val="num" w:pos="502"/>
        </w:tabs>
        <w:ind w:left="502" w:hanging="502"/>
        <w:rPr>
          <w:rFonts w:ascii="Arial" w:hAnsi="Arial" w:cs="Arial"/>
          <w:b/>
          <w:color w:val="000080"/>
          <w:sz w:val="22"/>
        </w:rPr>
      </w:pPr>
      <w:r>
        <w:rPr>
          <w:rFonts w:ascii="Arial" w:hAnsi="Arial" w:cs="Arial"/>
          <w:b/>
          <w:color w:val="000080"/>
          <w:sz w:val="22"/>
        </w:rPr>
        <w:t>Events A</w:t>
      </w:r>
      <w:r w:rsidR="0020574F">
        <w:rPr>
          <w:rFonts w:ascii="Arial" w:hAnsi="Arial" w:cs="Arial"/>
          <w:b/>
          <w:color w:val="000080"/>
          <w:sz w:val="22"/>
        </w:rPr>
        <w:t xml:space="preserve">fter the </w:t>
      </w:r>
      <w:r>
        <w:rPr>
          <w:rFonts w:ascii="Arial" w:hAnsi="Arial" w:cs="Arial"/>
          <w:b/>
          <w:color w:val="000080"/>
          <w:sz w:val="22"/>
        </w:rPr>
        <w:t>Reporting Period</w:t>
      </w:r>
    </w:p>
    <w:p w:rsidR="0020574F" w:rsidRDefault="0020574F" w:rsidP="0020574F">
      <w:pPr>
        <w:rPr>
          <w:rFonts w:ascii="Arial" w:hAnsi="Arial" w:cs="Arial"/>
          <w:b/>
          <w:sz w:val="22"/>
        </w:rPr>
      </w:pPr>
    </w:p>
    <w:p w:rsidR="0020574F" w:rsidRDefault="0020574F" w:rsidP="0020574F">
      <w:pPr>
        <w:ind w:left="426"/>
        <w:rPr>
          <w:rFonts w:ascii="Arial" w:hAnsi="Arial" w:cs="Arial"/>
          <w:sz w:val="22"/>
        </w:rPr>
      </w:pPr>
      <w:r>
        <w:rPr>
          <w:rFonts w:ascii="Arial" w:hAnsi="Arial" w:cs="Arial"/>
          <w:sz w:val="22"/>
        </w:rPr>
        <w:t>Events after the balance sheet date are those events, both favourable and unfavourable, that occur between the end of the reporting period and the date when the Statement of Accounts is authorised for issue. There are two types of events:</w:t>
      </w:r>
    </w:p>
    <w:p w:rsidR="0020574F" w:rsidRDefault="0020574F" w:rsidP="0020574F">
      <w:pPr>
        <w:ind w:left="540"/>
        <w:rPr>
          <w:rFonts w:ascii="Arial" w:hAnsi="Arial" w:cs="Arial"/>
          <w:sz w:val="22"/>
        </w:rPr>
      </w:pPr>
    </w:p>
    <w:p w:rsidR="0020574F" w:rsidRDefault="0020574F" w:rsidP="0020574F">
      <w:pPr>
        <w:numPr>
          <w:ilvl w:val="0"/>
          <w:numId w:val="14"/>
        </w:numPr>
        <w:tabs>
          <w:tab w:val="clear" w:pos="1080"/>
          <w:tab w:val="num" w:pos="851"/>
        </w:tabs>
        <w:ind w:left="851" w:hanging="425"/>
        <w:rPr>
          <w:rFonts w:ascii="Arial" w:hAnsi="Arial" w:cs="Arial"/>
          <w:sz w:val="22"/>
        </w:rPr>
      </w:pPr>
      <w:r>
        <w:rPr>
          <w:rFonts w:ascii="Arial" w:hAnsi="Arial" w:cs="Arial"/>
          <w:sz w:val="22"/>
        </w:rPr>
        <w:t>those that provide evidence of conditions that existed at the end of the reporting period; the Statement of Accounts is adjusted to reflect such events; and</w:t>
      </w:r>
    </w:p>
    <w:p w:rsidR="0020574F" w:rsidRDefault="0020574F" w:rsidP="0020574F">
      <w:pPr>
        <w:ind w:left="720"/>
        <w:rPr>
          <w:rFonts w:ascii="Arial" w:hAnsi="Arial" w:cs="Arial"/>
          <w:sz w:val="22"/>
        </w:rPr>
      </w:pPr>
    </w:p>
    <w:p w:rsidR="0020574F" w:rsidRDefault="0020574F" w:rsidP="0020574F">
      <w:pPr>
        <w:numPr>
          <w:ilvl w:val="0"/>
          <w:numId w:val="14"/>
        </w:numPr>
        <w:tabs>
          <w:tab w:val="clear" w:pos="1080"/>
          <w:tab w:val="num" w:pos="851"/>
        </w:tabs>
        <w:ind w:left="851" w:hanging="425"/>
        <w:rPr>
          <w:rFonts w:ascii="Arial" w:hAnsi="Arial" w:cs="Arial"/>
          <w:sz w:val="22"/>
        </w:rPr>
      </w:pPr>
      <w:r>
        <w:rPr>
          <w:rFonts w:ascii="Arial" w:hAnsi="Arial" w:cs="Arial"/>
          <w:sz w:val="22"/>
        </w:rPr>
        <w:t xml:space="preserve">those that are indicative of conditions that arose after the end of the reporting period; the Statement of Accounts is not adjusted to reflect such events but, where an event would have a material effect, disclosure is made in the notes of the event and its estimated financial effect. </w:t>
      </w:r>
    </w:p>
    <w:p w:rsidR="005979E3" w:rsidRDefault="005979E3" w:rsidP="005979E3">
      <w:pPr>
        <w:rPr>
          <w:rFonts w:ascii="Arial" w:hAnsi="Arial" w:cs="Arial"/>
          <w:sz w:val="22"/>
        </w:rPr>
      </w:pPr>
    </w:p>
    <w:p w:rsidR="004D6673" w:rsidRPr="005979E3" w:rsidRDefault="004557C2" w:rsidP="005979E3">
      <w:pPr>
        <w:ind w:left="426"/>
        <w:rPr>
          <w:rFonts w:ascii="Arial" w:hAnsi="Arial" w:cs="Arial"/>
          <w:sz w:val="22"/>
        </w:rPr>
      </w:pPr>
      <w:r w:rsidRPr="00A1143B">
        <w:rPr>
          <w:rFonts w:ascii="Arial" w:hAnsi="Arial" w:cs="Arial"/>
          <w:sz w:val="22"/>
        </w:rPr>
        <w:t>Events taking place after the date of authorisation for issue are not reflected in the statement of accounts.</w:t>
      </w:r>
    </w:p>
    <w:p w:rsidR="004D6673" w:rsidRDefault="004D6673" w:rsidP="0020574F">
      <w:pPr>
        <w:rPr>
          <w:rFonts w:ascii="Arial" w:hAnsi="Arial" w:cs="Arial"/>
          <w:color w:val="000080"/>
          <w:sz w:val="22"/>
        </w:rPr>
      </w:pPr>
    </w:p>
    <w:p w:rsidR="004D6673" w:rsidRDefault="004D6673" w:rsidP="0020574F">
      <w:pPr>
        <w:rPr>
          <w:rFonts w:ascii="Arial" w:hAnsi="Arial" w:cs="Arial"/>
          <w:color w:val="000080"/>
          <w:sz w:val="22"/>
        </w:rPr>
      </w:pPr>
    </w:p>
    <w:p w:rsidR="0020574F" w:rsidRDefault="0020574F" w:rsidP="0020574F">
      <w:pPr>
        <w:numPr>
          <w:ilvl w:val="0"/>
          <w:numId w:val="19"/>
        </w:numPr>
        <w:tabs>
          <w:tab w:val="clear" w:pos="720"/>
          <w:tab w:val="num" w:pos="426"/>
          <w:tab w:val="num" w:pos="502"/>
        </w:tabs>
        <w:ind w:left="426" w:hanging="426"/>
        <w:rPr>
          <w:rFonts w:ascii="Arial" w:hAnsi="Arial" w:cs="Arial"/>
          <w:b/>
          <w:color w:val="000080"/>
          <w:sz w:val="22"/>
        </w:rPr>
      </w:pPr>
      <w:r>
        <w:rPr>
          <w:rFonts w:ascii="Arial" w:hAnsi="Arial" w:cs="Arial"/>
          <w:b/>
          <w:color w:val="000080"/>
          <w:sz w:val="22"/>
        </w:rPr>
        <w:t>Financial Instruments</w:t>
      </w:r>
    </w:p>
    <w:p w:rsidR="0020574F" w:rsidRDefault="0020574F" w:rsidP="0020574F">
      <w:pPr>
        <w:rPr>
          <w:rFonts w:ascii="Arial" w:hAnsi="Arial" w:cs="Arial"/>
          <w:b/>
          <w:sz w:val="22"/>
        </w:rPr>
      </w:pPr>
    </w:p>
    <w:p w:rsidR="0020574F" w:rsidRDefault="0020574F" w:rsidP="0020574F">
      <w:pPr>
        <w:ind w:left="426"/>
        <w:rPr>
          <w:rFonts w:ascii="Arial" w:hAnsi="Arial" w:cs="Arial"/>
          <w:color w:val="000080"/>
          <w:sz w:val="22"/>
        </w:rPr>
      </w:pPr>
      <w:r>
        <w:rPr>
          <w:rFonts w:ascii="Arial" w:hAnsi="Arial" w:cs="Arial"/>
          <w:color w:val="000080"/>
          <w:sz w:val="22"/>
        </w:rPr>
        <w:t>Financial liabilities</w:t>
      </w:r>
    </w:p>
    <w:p w:rsidR="0020574F" w:rsidRDefault="0020574F" w:rsidP="0020574F">
      <w:pPr>
        <w:ind w:left="540"/>
        <w:rPr>
          <w:rFonts w:ascii="Arial" w:hAnsi="Arial" w:cs="Arial"/>
          <w:sz w:val="22"/>
        </w:rPr>
      </w:pPr>
    </w:p>
    <w:p w:rsidR="0020574F" w:rsidRDefault="0020574F" w:rsidP="0020574F">
      <w:pPr>
        <w:tabs>
          <w:tab w:val="left" w:pos="1418"/>
        </w:tabs>
        <w:ind w:left="426"/>
        <w:rPr>
          <w:rFonts w:ascii="Arial" w:hAnsi="Arial" w:cs="Arial"/>
          <w:sz w:val="22"/>
        </w:rPr>
      </w:pPr>
      <w:r>
        <w:rPr>
          <w:rFonts w:ascii="Arial" w:hAnsi="Arial" w:cs="Arial"/>
          <w:sz w:val="22"/>
        </w:rPr>
        <w:t>Financial liabilities are recognised on the balance sheet when the Authority becomes a party to the contractual provisions of a financial instrument and are initially measured at fair value and carried at their amortised cost. Annual charges to the financing and investment section of the Income and Expenditure Account for interest are based on the carrying amount of the liability, multiplied by the effective rate of interest for the instrument. The effective rate of interest is the rate that discounts estimated future cash payments over the life of the instrument to the fair value at which it was originally recognised.</w:t>
      </w:r>
    </w:p>
    <w:p w:rsidR="0020574F" w:rsidRDefault="0020574F" w:rsidP="0020574F">
      <w:pPr>
        <w:tabs>
          <w:tab w:val="left" w:pos="1418"/>
        </w:tabs>
        <w:ind w:left="426"/>
        <w:rPr>
          <w:rFonts w:ascii="Arial" w:hAnsi="Arial" w:cs="Arial"/>
          <w:sz w:val="22"/>
        </w:rPr>
      </w:pPr>
      <w:r>
        <w:rPr>
          <w:rFonts w:ascii="Arial" w:hAnsi="Arial" w:cs="Arial"/>
          <w:sz w:val="22"/>
        </w:rPr>
        <w:t>The only financial liabilities for this Council are trade payables of short duration, measured at original or estimated invoice amount, and long term borrowing which is shown in the balance sheet as the outstanding principal repayable with interest charged to the comprehensive income and expenditure account being the amount payable for the year in accordance with the loan agreement.</w:t>
      </w:r>
    </w:p>
    <w:p w:rsidR="0020574F" w:rsidRDefault="0020574F" w:rsidP="0020574F">
      <w:pPr>
        <w:tabs>
          <w:tab w:val="left" w:pos="1418"/>
        </w:tabs>
        <w:ind w:left="426"/>
        <w:rPr>
          <w:rFonts w:ascii="Arial" w:hAnsi="Arial" w:cs="Arial"/>
          <w:sz w:val="22"/>
        </w:rPr>
      </w:pPr>
    </w:p>
    <w:p w:rsidR="0020574F" w:rsidRDefault="0020574F" w:rsidP="0020574F">
      <w:pPr>
        <w:ind w:left="540"/>
        <w:rPr>
          <w:rFonts w:ascii="Arial" w:hAnsi="Arial" w:cs="Arial"/>
          <w:sz w:val="22"/>
        </w:rPr>
      </w:pPr>
    </w:p>
    <w:p w:rsidR="0020574F" w:rsidRDefault="0020574F" w:rsidP="0020574F">
      <w:pPr>
        <w:ind w:left="426"/>
        <w:rPr>
          <w:rFonts w:ascii="Arial" w:hAnsi="Arial" w:cs="Arial"/>
          <w:color w:val="000080"/>
          <w:sz w:val="22"/>
        </w:rPr>
      </w:pPr>
      <w:r>
        <w:rPr>
          <w:rFonts w:ascii="Arial" w:hAnsi="Arial" w:cs="Arial"/>
          <w:color w:val="000080"/>
          <w:sz w:val="22"/>
        </w:rPr>
        <w:t xml:space="preserve">Financial assets </w:t>
      </w:r>
    </w:p>
    <w:p w:rsidR="0020574F" w:rsidRDefault="0020574F" w:rsidP="0020574F">
      <w:pPr>
        <w:ind w:left="360"/>
        <w:rPr>
          <w:rFonts w:ascii="Arial" w:hAnsi="Arial" w:cs="Arial"/>
          <w:sz w:val="22"/>
        </w:rPr>
      </w:pPr>
    </w:p>
    <w:p w:rsidR="0020574F" w:rsidRDefault="0020574F" w:rsidP="0020574F">
      <w:pPr>
        <w:ind w:left="426"/>
        <w:rPr>
          <w:rFonts w:ascii="Arial" w:hAnsi="Arial" w:cs="Arial"/>
          <w:sz w:val="22"/>
        </w:rPr>
      </w:pPr>
      <w:r>
        <w:rPr>
          <w:rFonts w:ascii="Arial" w:hAnsi="Arial" w:cs="Arial"/>
          <w:sz w:val="22"/>
        </w:rPr>
        <w:t>Financial assets consist of:</w:t>
      </w:r>
    </w:p>
    <w:p w:rsidR="0020574F" w:rsidRDefault="0020574F" w:rsidP="0020574F">
      <w:pPr>
        <w:ind w:left="360"/>
        <w:rPr>
          <w:rFonts w:ascii="Arial" w:hAnsi="Arial" w:cs="Arial"/>
          <w:sz w:val="22"/>
        </w:rPr>
      </w:pPr>
    </w:p>
    <w:p w:rsidR="0020574F" w:rsidRDefault="0020574F" w:rsidP="0020574F">
      <w:pPr>
        <w:numPr>
          <w:ilvl w:val="0"/>
          <w:numId w:val="15"/>
        </w:numPr>
        <w:tabs>
          <w:tab w:val="clear" w:pos="1080"/>
          <w:tab w:val="num" w:pos="851"/>
          <w:tab w:val="left" w:pos="1134"/>
        </w:tabs>
        <w:ind w:hanging="654"/>
        <w:rPr>
          <w:rFonts w:ascii="Arial" w:hAnsi="Arial" w:cs="Arial"/>
          <w:sz w:val="22"/>
        </w:rPr>
      </w:pPr>
      <w:r>
        <w:rPr>
          <w:rFonts w:ascii="Arial" w:hAnsi="Arial" w:cs="Arial"/>
          <w:sz w:val="22"/>
        </w:rPr>
        <w:t>loans and receivables and</w:t>
      </w:r>
    </w:p>
    <w:p w:rsidR="0020574F" w:rsidRDefault="0020574F" w:rsidP="0020574F">
      <w:pPr>
        <w:rPr>
          <w:rFonts w:ascii="Arial" w:hAnsi="Arial" w:cs="Arial"/>
          <w:sz w:val="22"/>
        </w:rPr>
      </w:pPr>
    </w:p>
    <w:p w:rsidR="0020574F" w:rsidRDefault="0020574F" w:rsidP="0020574F">
      <w:pPr>
        <w:numPr>
          <w:ilvl w:val="0"/>
          <w:numId w:val="15"/>
        </w:numPr>
        <w:tabs>
          <w:tab w:val="clear" w:pos="1080"/>
          <w:tab w:val="num" w:pos="851"/>
        </w:tabs>
        <w:ind w:left="426" w:firstLine="0"/>
        <w:rPr>
          <w:rFonts w:ascii="Arial" w:hAnsi="Arial" w:cs="Arial"/>
          <w:sz w:val="22"/>
        </w:rPr>
      </w:pPr>
      <w:r>
        <w:rPr>
          <w:rFonts w:ascii="Arial" w:hAnsi="Arial" w:cs="Arial"/>
          <w:sz w:val="22"/>
        </w:rPr>
        <w:t>available-for-sale assets – financial instruments</w:t>
      </w:r>
    </w:p>
    <w:p w:rsidR="0020574F" w:rsidRDefault="0020574F" w:rsidP="0020574F">
      <w:pPr>
        <w:rPr>
          <w:rFonts w:ascii="Arial" w:hAnsi="Arial" w:cs="Arial"/>
          <w:sz w:val="22"/>
        </w:rPr>
      </w:pPr>
    </w:p>
    <w:p w:rsidR="0020574F" w:rsidRDefault="0020574F" w:rsidP="0020574F">
      <w:pPr>
        <w:ind w:left="426"/>
        <w:rPr>
          <w:rFonts w:ascii="Arial" w:hAnsi="Arial" w:cs="Arial"/>
          <w:sz w:val="22"/>
        </w:rPr>
      </w:pPr>
      <w:r>
        <w:rPr>
          <w:rFonts w:ascii="Arial" w:hAnsi="Arial" w:cs="Arial"/>
          <w:sz w:val="22"/>
        </w:rPr>
        <w:lastRenderedPageBreak/>
        <w:t xml:space="preserve">The only financial assets applicable to this Council are loans and receivables which have the defining characteristics of fixed and determinable payments and are not quoted in an active market. </w:t>
      </w:r>
    </w:p>
    <w:p w:rsidR="0020574F" w:rsidRDefault="0020574F" w:rsidP="0020574F">
      <w:pPr>
        <w:ind w:left="426"/>
        <w:rPr>
          <w:rFonts w:ascii="Arial" w:hAnsi="Arial" w:cs="Arial"/>
          <w:sz w:val="22"/>
        </w:rPr>
      </w:pPr>
    </w:p>
    <w:p w:rsidR="0020574F" w:rsidRDefault="0020574F" w:rsidP="0020574F">
      <w:pPr>
        <w:ind w:left="426"/>
        <w:rPr>
          <w:rFonts w:ascii="Arial" w:hAnsi="Arial" w:cs="Arial"/>
          <w:sz w:val="22"/>
        </w:rPr>
      </w:pPr>
      <w:r>
        <w:rPr>
          <w:rFonts w:ascii="Arial" w:hAnsi="Arial" w:cs="Arial"/>
          <w:sz w:val="22"/>
        </w:rPr>
        <w:t>Loans and receivables are recognised on the balance sheet when the Authority becomes a party to the contractual provisions of a financial instrument and are initially measured at fair value. They are subsequently carried at amortised cost. Annual credits to the financing and investment section of the comprehensive income and expenditure account for interest are based on the carrying amount of the asset multiplied by the effective rate of interest for the instrument. For most of the loans and receivables owed to the Council, the amount shown in the balance sheet is the outstanding principal or invoice amount receivable and interest credited to the comprehensive income and expenditure account is the amount receivable for the year in the loan agreement.</w:t>
      </w:r>
    </w:p>
    <w:p w:rsidR="0020574F" w:rsidRDefault="0020574F" w:rsidP="0020574F">
      <w:pPr>
        <w:ind w:left="360"/>
        <w:rPr>
          <w:rFonts w:ascii="Arial" w:hAnsi="Arial" w:cs="Arial"/>
          <w:sz w:val="22"/>
        </w:rPr>
      </w:pPr>
    </w:p>
    <w:p w:rsidR="0020574F" w:rsidRDefault="0020574F" w:rsidP="0020574F">
      <w:pPr>
        <w:ind w:left="426"/>
        <w:rPr>
          <w:rFonts w:ascii="Arial" w:hAnsi="Arial" w:cs="Arial"/>
          <w:sz w:val="22"/>
        </w:rPr>
      </w:pPr>
      <w:r>
        <w:rPr>
          <w:rFonts w:ascii="Arial" w:hAnsi="Arial" w:cs="Arial"/>
          <w:sz w:val="22"/>
        </w:rPr>
        <w:t>The Council has made a number of loans for disabled facilities and renovation of dwellings to individuals and landlords at a nil rate of interest repayable on the sale/transfer of the property. As these loans have no fixed or determinable repayment, they have not been classified as loans and receivables but have been shown as long-term debtors.</w:t>
      </w:r>
    </w:p>
    <w:p w:rsidR="00AB34DE" w:rsidRDefault="00AB34DE" w:rsidP="00A1143B">
      <w:pPr>
        <w:rPr>
          <w:rFonts w:ascii="Arial" w:hAnsi="Arial" w:cs="Arial"/>
          <w:sz w:val="22"/>
        </w:rPr>
      </w:pPr>
    </w:p>
    <w:p w:rsidR="0020574F" w:rsidRDefault="0020574F" w:rsidP="0020574F">
      <w:pPr>
        <w:numPr>
          <w:ilvl w:val="0"/>
          <w:numId w:val="19"/>
        </w:numPr>
        <w:tabs>
          <w:tab w:val="clear" w:pos="720"/>
          <w:tab w:val="num" w:pos="426"/>
          <w:tab w:val="num" w:pos="502"/>
        </w:tabs>
        <w:ind w:left="426" w:hanging="426"/>
        <w:rPr>
          <w:rFonts w:ascii="Arial" w:hAnsi="Arial" w:cs="Arial"/>
          <w:b/>
          <w:color w:val="000080"/>
          <w:sz w:val="22"/>
        </w:rPr>
      </w:pPr>
      <w:r>
        <w:rPr>
          <w:rFonts w:ascii="Arial" w:hAnsi="Arial" w:cs="Arial"/>
          <w:b/>
          <w:color w:val="000080"/>
          <w:sz w:val="22"/>
        </w:rPr>
        <w:t xml:space="preserve">Government and Other Grants and Contributions </w:t>
      </w:r>
    </w:p>
    <w:p w:rsidR="0020574F" w:rsidRDefault="0020574F" w:rsidP="0020574F">
      <w:pPr>
        <w:rPr>
          <w:rFonts w:ascii="Arial" w:hAnsi="Arial" w:cs="Arial"/>
          <w:b/>
          <w:sz w:val="22"/>
        </w:rPr>
      </w:pPr>
    </w:p>
    <w:p w:rsidR="0020574F" w:rsidRDefault="0020574F" w:rsidP="0020574F">
      <w:pPr>
        <w:ind w:left="426"/>
        <w:rPr>
          <w:rFonts w:ascii="Arial" w:hAnsi="Arial" w:cs="Arial"/>
          <w:bCs/>
          <w:sz w:val="22"/>
        </w:rPr>
      </w:pPr>
      <w:r>
        <w:rPr>
          <w:rFonts w:ascii="Arial" w:hAnsi="Arial" w:cs="Arial"/>
          <w:bCs/>
          <w:sz w:val="22"/>
        </w:rPr>
        <w:t>Government grants and other contributions and donations are recognised as due to the Authority when there is a reasonable assurance that:</w:t>
      </w:r>
    </w:p>
    <w:p w:rsidR="0020574F" w:rsidRDefault="0020574F" w:rsidP="0020574F">
      <w:pPr>
        <w:ind w:left="426"/>
        <w:rPr>
          <w:rFonts w:ascii="Arial" w:hAnsi="Arial" w:cs="Arial"/>
          <w:bCs/>
          <w:sz w:val="22"/>
        </w:rPr>
      </w:pPr>
    </w:p>
    <w:p w:rsidR="0020574F" w:rsidRDefault="0020574F" w:rsidP="0020574F">
      <w:pPr>
        <w:numPr>
          <w:ilvl w:val="0"/>
          <w:numId w:val="16"/>
        </w:numPr>
        <w:tabs>
          <w:tab w:val="clear" w:pos="1506"/>
          <w:tab w:val="num" w:pos="851"/>
        </w:tabs>
        <w:ind w:hanging="1080"/>
        <w:rPr>
          <w:rFonts w:ascii="Arial" w:hAnsi="Arial" w:cs="Arial"/>
          <w:bCs/>
          <w:sz w:val="22"/>
        </w:rPr>
      </w:pPr>
      <w:r>
        <w:rPr>
          <w:rFonts w:ascii="Arial" w:hAnsi="Arial" w:cs="Arial"/>
          <w:bCs/>
          <w:sz w:val="22"/>
        </w:rPr>
        <w:t xml:space="preserve">the Authority will comply with the conditions attached to the payments; and </w:t>
      </w:r>
    </w:p>
    <w:p w:rsidR="0020574F" w:rsidRDefault="0020574F" w:rsidP="0020574F">
      <w:pPr>
        <w:ind w:left="1146"/>
        <w:rPr>
          <w:rFonts w:ascii="Arial" w:hAnsi="Arial" w:cs="Arial"/>
          <w:bCs/>
          <w:sz w:val="22"/>
        </w:rPr>
      </w:pPr>
    </w:p>
    <w:p w:rsidR="0020574F" w:rsidRDefault="0020574F" w:rsidP="0020574F">
      <w:pPr>
        <w:numPr>
          <w:ilvl w:val="0"/>
          <w:numId w:val="16"/>
        </w:numPr>
        <w:tabs>
          <w:tab w:val="clear" w:pos="1506"/>
          <w:tab w:val="num" w:pos="851"/>
        </w:tabs>
        <w:ind w:hanging="1080"/>
        <w:rPr>
          <w:rFonts w:ascii="Arial" w:hAnsi="Arial" w:cs="Arial"/>
          <w:bCs/>
          <w:sz w:val="22"/>
        </w:rPr>
      </w:pPr>
      <w:proofErr w:type="gramStart"/>
      <w:r>
        <w:rPr>
          <w:rFonts w:ascii="Arial" w:hAnsi="Arial" w:cs="Arial"/>
          <w:bCs/>
          <w:sz w:val="22"/>
        </w:rPr>
        <w:t>the</w:t>
      </w:r>
      <w:proofErr w:type="gramEnd"/>
      <w:r>
        <w:rPr>
          <w:rFonts w:ascii="Arial" w:hAnsi="Arial" w:cs="Arial"/>
          <w:bCs/>
          <w:sz w:val="22"/>
        </w:rPr>
        <w:t xml:space="preserve"> grants or contributions will be received.</w:t>
      </w:r>
    </w:p>
    <w:p w:rsidR="0020574F" w:rsidRDefault="0020574F" w:rsidP="0020574F">
      <w:pPr>
        <w:rPr>
          <w:rFonts w:ascii="Arial" w:hAnsi="Arial" w:cs="Arial"/>
          <w:bCs/>
          <w:sz w:val="22"/>
        </w:rPr>
      </w:pPr>
    </w:p>
    <w:p w:rsidR="0020574F" w:rsidRDefault="0020574F" w:rsidP="0020574F">
      <w:pPr>
        <w:pStyle w:val="BodyTextIndent2"/>
        <w:ind w:left="426"/>
        <w:jc w:val="left"/>
        <w:rPr>
          <w:rFonts w:ascii="Arial" w:hAnsi="Arial" w:cs="Arial"/>
          <w:sz w:val="22"/>
        </w:rPr>
      </w:pPr>
      <w:r>
        <w:rPr>
          <w:rFonts w:ascii="Arial" w:hAnsi="Arial" w:cs="Arial"/>
          <w:sz w:val="22"/>
        </w:rPr>
        <w:t xml:space="preserve">Amounts recognised as due to the Authority are not credited to the comprehensive income and expenditure </w:t>
      </w:r>
      <w:proofErr w:type="gramStart"/>
      <w:r>
        <w:rPr>
          <w:rFonts w:ascii="Arial" w:hAnsi="Arial" w:cs="Arial"/>
          <w:sz w:val="22"/>
        </w:rPr>
        <w:t>statement until conditions attached to the grant or contribution have</w:t>
      </w:r>
      <w:proofErr w:type="gramEnd"/>
      <w:r>
        <w:rPr>
          <w:rFonts w:ascii="Arial" w:hAnsi="Arial" w:cs="Arial"/>
          <w:sz w:val="22"/>
        </w:rPr>
        <w:t xml:space="preser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 i.e. if the grant or contribution is not used as intended, then it has to be repaid.</w:t>
      </w:r>
    </w:p>
    <w:p w:rsidR="0020574F" w:rsidRDefault="0020574F" w:rsidP="0020574F">
      <w:pPr>
        <w:ind w:left="360"/>
        <w:rPr>
          <w:rFonts w:ascii="Arial" w:hAnsi="Arial" w:cs="Arial"/>
          <w:bCs/>
          <w:sz w:val="22"/>
        </w:rPr>
      </w:pPr>
    </w:p>
    <w:p w:rsidR="0020574F" w:rsidRDefault="0020574F" w:rsidP="0020574F">
      <w:pPr>
        <w:ind w:left="426"/>
        <w:rPr>
          <w:rFonts w:ascii="Arial" w:hAnsi="Arial" w:cs="Arial"/>
          <w:bCs/>
          <w:sz w:val="22"/>
        </w:rPr>
      </w:pPr>
      <w:r>
        <w:rPr>
          <w:rFonts w:ascii="Arial" w:hAnsi="Arial" w:cs="Arial"/>
          <w:bCs/>
          <w:sz w:val="22"/>
        </w:rPr>
        <w:t>Monies advanced as grants and contributions for which conditions have not been satisfied are carried in the balance sheet as creditors (receipts in advance). When conditions are satisfied, the grant or contribution is credited to the relevant service (</w:t>
      </w:r>
      <w:proofErr w:type="gramStart"/>
      <w:r>
        <w:rPr>
          <w:rFonts w:ascii="Arial" w:hAnsi="Arial" w:cs="Arial"/>
          <w:bCs/>
          <w:sz w:val="22"/>
        </w:rPr>
        <w:t>attributable</w:t>
      </w:r>
      <w:proofErr w:type="gramEnd"/>
      <w:r>
        <w:rPr>
          <w:rFonts w:ascii="Arial" w:hAnsi="Arial" w:cs="Arial"/>
          <w:bCs/>
          <w:sz w:val="22"/>
        </w:rPr>
        <w:t xml:space="preserve"> revenue grants and contributions) or to the taxation and non-specific</w:t>
      </w:r>
      <w:r w:rsidR="005979E3">
        <w:rPr>
          <w:rFonts w:ascii="Arial" w:hAnsi="Arial" w:cs="Arial"/>
          <w:bCs/>
          <w:sz w:val="22"/>
        </w:rPr>
        <w:t xml:space="preserve"> grant income section (non-ringfenced</w:t>
      </w:r>
      <w:r>
        <w:rPr>
          <w:rFonts w:ascii="Arial" w:hAnsi="Arial" w:cs="Arial"/>
          <w:bCs/>
          <w:sz w:val="22"/>
        </w:rPr>
        <w:t xml:space="preserve"> revenue grants and all capital grants) in the comprehensive income and expenditure statement.</w:t>
      </w:r>
    </w:p>
    <w:p w:rsidR="0020574F" w:rsidRDefault="0020574F" w:rsidP="0020574F">
      <w:pPr>
        <w:ind w:left="426"/>
        <w:rPr>
          <w:rFonts w:ascii="Arial" w:hAnsi="Arial" w:cs="Arial"/>
          <w:bCs/>
          <w:sz w:val="22"/>
        </w:rPr>
      </w:pPr>
    </w:p>
    <w:p w:rsidR="0020574F" w:rsidRDefault="0020574F" w:rsidP="0020574F">
      <w:pPr>
        <w:ind w:left="426"/>
        <w:rPr>
          <w:rFonts w:ascii="Arial" w:hAnsi="Arial" w:cs="Arial"/>
          <w:bCs/>
          <w:sz w:val="22"/>
        </w:rPr>
      </w:pPr>
      <w:r>
        <w:rPr>
          <w:rFonts w:ascii="Arial" w:hAnsi="Arial" w:cs="Arial"/>
          <w:bCs/>
          <w:sz w:val="22"/>
        </w:rPr>
        <w:t xml:space="preserve">Where capital grants are credited to the comprehensive income and expenditure statement, they are reversed out in the movement in reserves statement: </w:t>
      </w:r>
    </w:p>
    <w:p w:rsidR="0020574F" w:rsidRDefault="0020574F" w:rsidP="00B95630">
      <w:pPr>
        <w:ind w:left="851"/>
        <w:rPr>
          <w:rFonts w:ascii="Arial" w:hAnsi="Arial" w:cs="Arial"/>
          <w:bCs/>
          <w:sz w:val="22"/>
        </w:rPr>
      </w:pPr>
      <w:proofErr w:type="gramStart"/>
      <w:r>
        <w:rPr>
          <w:rFonts w:ascii="Arial" w:hAnsi="Arial" w:cs="Arial"/>
          <w:bCs/>
          <w:sz w:val="22"/>
        </w:rPr>
        <w:t>to</w:t>
      </w:r>
      <w:proofErr w:type="gramEnd"/>
      <w:r>
        <w:rPr>
          <w:rFonts w:ascii="Arial" w:hAnsi="Arial" w:cs="Arial"/>
          <w:bCs/>
          <w:sz w:val="22"/>
        </w:rPr>
        <w:t xml:space="preserve"> the capital grants unapplied reserve if the grant has yet to be used to finance capital expenditure; or</w:t>
      </w:r>
    </w:p>
    <w:p w:rsidR="0020574F" w:rsidRDefault="0020574F" w:rsidP="00B95630">
      <w:pPr>
        <w:ind w:left="851"/>
        <w:rPr>
          <w:rFonts w:ascii="Arial" w:hAnsi="Arial" w:cs="Arial"/>
          <w:bCs/>
          <w:sz w:val="22"/>
        </w:rPr>
      </w:pPr>
      <w:proofErr w:type="gramStart"/>
      <w:r>
        <w:rPr>
          <w:rFonts w:ascii="Arial" w:hAnsi="Arial" w:cs="Arial"/>
          <w:bCs/>
          <w:sz w:val="22"/>
        </w:rPr>
        <w:t>to</w:t>
      </w:r>
      <w:proofErr w:type="gramEnd"/>
      <w:r>
        <w:rPr>
          <w:rFonts w:ascii="Arial" w:hAnsi="Arial" w:cs="Arial"/>
          <w:bCs/>
          <w:sz w:val="22"/>
        </w:rPr>
        <w:t xml:space="preserve"> the capital adjustment account if the grant has been used to finance capital expenditure.</w:t>
      </w:r>
    </w:p>
    <w:p w:rsidR="0020574F" w:rsidRDefault="0020574F" w:rsidP="0020574F">
      <w:pPr>
        <w:ind w:left="426"/>
        <w:rPr>
          <w:rFonts w:ascii="Arial" w:hAnsi="Arial" w:cs="Arial"/>
          <w:bCs/>
          <w:sz w:val="22"/>
        </w:rPr>
      </w:pPr>
    </w:p>
    <w:p w:rsidR="0020574F" w:rsidRDefault="0020574F" w:rsidP="0020574F">
      <w:pPr>
        <w:pStyle w:val="BodyTextIndent2"/>
        <w:ind w:left="426"/>
        <w:rPr>
          <w:rFonts w:ascii="Arial" w:hAnsi="Arial" w:cs="Arial"/>
          <w:bCs/>
          <w:sz w:val="22"/>
        </w:rPr>
      </w:pPr>
      <w:r>
        <w:rPr>
          <w:rFonts w:ascii="Arial" w:hAnsi="Arial" w:cs="Arial"/>
          <w:bCs/>
          <w:sz w:val="22"/>
        </w:rPr>
        <w:t>Amounts in the capital grants unapplied reserve are transferred to the capital adjustment account when they are applied to fund capital expenditure.</w:t>
      </w:r>
    </w:p>
    <w:p w:rsidR="0020574F" w:rsidRDefault="0020574F" w:rsidP="0020574F">
      <w:pPr>
        <w:pStyle w:val="BodyTextIndent2"/>
        <w:ind w:left="426"/>
        <w:rPr>
          <w:rFonts w:ascii="Arial" w:hAnsi="Arial" w:cs="Arial"/>
          <w:bCs/>
          <w:sz w:val="22"/>
        </w:rPr>
      </w:pPr>
    </w:p>
    <w:p w:rsidR="00A1143B" w:rsidRDefault="00A1143B" w:rsidP="0020574F">
      <w:pPr>
        <w:rPr>
          <w:rFonts w:ascii="Arial" w:hAnsi="Arial" w:cs="Arial"/>
          <w:b/>
          <w:bCs/>
          <w:color w:val="000080"/>
          <w:sz w:val="22"/>
        </w:rPr>
      </w:pPr>
    </w:p>
    <w:p w:rsidR="0020574F" w:rsidRDefault="0020574F" w:rsidP="0020574F">
      <w:pPr>
        <w:tabs>
          <w:tab w:val="left" w:pos="426"/>
        </w:tabs>
        <w:ind w:left="426" w:hanging="426"/>
        <w:rPr>
          <w:rFonts w:ascii="Arial" w:hAnsi="Arial" w:cs="Arial"/>
          <w:b/>
          <w:bCs/>
          <w:color w:val="000080"/>
          <w:sz w:val="22"/>
        </w:rPr>
      </w:pPr>
      <w:r>
        <w:rPr>
          <w:rFonts w:ascii="Arial" w:hAnsi="Arial" w:cs="Arial"/>
          <w:b/>
          <w:bCs/>
          <w:color w:val="000080"/>
          <w:sz w:val="22"/>
        </w:rPr>
        <w:t xml:space="preserve"> j.  </w:t>
      </w:r>
      <w:r>
        <w:rPr>
          <w:rFonts w:ascii="Arial" w:hAnsi="Arial" w:cs="Arial"/>
          <w:b/>
          <w:bCs/>
          <w:color w:val="000080"/>
          <w:sz w:val="22"/>
        </w:rPr>
        <w:tab/>
        <w:t>Heritage Assets</w:t>
      </w:r>
    </w:p>
    <w:p w:rsidR="0020574F" w:rsidRDefault="0020574F" w:rsidP="0020574F">
      <w:pPr>
        <w:tabs>
          <w:tab w:val="left" w:pos="426"/>
        </w:tabs>
        <w:ind w:left="426" w:hanging="426"/>
        <w:rPr>
          <w:rFonts w:ascii="Arial" w:hAnsi="Arial" w:cs="Arial"/>
          <w:b/>
          <w:bCs/>
          <w:color w:val="000080"/>
          <w:sz w:val="22"/>
        </w:rPr>
      </w:pPr>
    </w:p>
    <w:p w:rsidR="0020574F" w:rsidRDefault="0020574F" w:rsidP="0020574F">
      <w:pPr>
        <w:tabs>
          <w:tab w:val="left" w:pos="426"/>
        </w:tabs>
        <w:ind w:left="426" w:hanging="426"/>
        <w:rPr>
          <w:rFonts w:ascii="Arial" w:hAnsi="Arial" w:cs="Arial"/>
          <w:bCs/>
          <w:sz w:val="22"/>
        </w:rPr>
      </w:pPr>
      <w:r>
        <w:rPr>
          <w:rFonts w:ascii="Arial" w:hAnsi="Arial" w:cs="Arial"/>
          <w:b/>
          <w:bCs/>
          <w:color w:val="000080"/>
          <w:sz w:val="22"/>
        </w:rPr>
        <w:tab/>
      </w:r>
      <w:r w:rsidRPr="001F2FE1">
        <w:rPr>
          <w:rFonts w:ascii="Arial" w:hAnsi="Arial" w:cs="Arial"/>
          <w:bCs/>
          <w:sz w:val="22"/>
        </w:rPr>
        <w:t>Heritage assets</w:t>
      </w:r>
      <w:r>
        <w:rPr>
          <w:rFonts w:ascii="Arial" w:hAnsi="Arial" w:cs="Arial"/>
          <w:bCs/>
          <w:sz w:val="22"/>
        </w:rPr>
        <w:t xml:space="preserve"> have cultural, environmental or historical associations that make their preservation for future generations important and are maintained principally for their contribution to knowledge and culture.</w:t>
      </w:r>
    </w:p>
    <w:p w:rsidR="0020574F" w:rsidRDefault="0020574F" w:rsidP="0020574F">
      <w:pPr>
        <w:tabs>
          <w:tab w:val="left" w:pos="426"/>
        </w:tabs>
        <w:ind w:left="426" w:hanging="426"/>
        <w:rPr>
          <w:rFonts w:ascii="Arial" w:hAnsi="Arial" w:cs="Arial"/>
          <w:bCs/>
          <w:sz w:val="22"/>
        </w:rPr>
      </w:pPr>
    </w:p>
    <w:p w:rsidR="0020574F" w:rsidRDefault="0020574F" w:rsidP="0020574F">
      <w:pPr>
        <w:tabs>
          <w:tab w:val="left" w:pos="426"/>
        </w:tabs>
        <w:ind w:left="426" w:hanging="426"/>
        <w:rPr>
          <w:rFonts w:ascii="Arial" w:hAnsi="Arial" w:cs="Arial"/>
          <w:bCs/>
          <w:sz w:val="22"/>
        </w:rPr>
      </w:pPr>
      <w:r>
        <w:rPr>
          <w:rFonts w:ascii="Arial" w:hAnsi="Arial" w:cs="Arial"/>
          <w:bCs/>
          <w:sz w:val="22"/>
        </w:rPr>
        <w:tab/>
        <w:t xml:space="preserve">Heritage assets are recognised in the balance sheet where the Council has information on the cost or value of the asset. Where such information is not available, and the cost of obtaining the information outweighs the benefits to the users of the accounts, heritage assets </w:t>
      </w:r>
      <w:r w:rsidRPr="00C2152C">
        <w:rPr>
          <w:rFonts w:ascii="Arial" w:hAnsi="Arial" w:cs="Arial"/>
          <w:bCs/>
          <w:sz w:val="22"/>
        </w:rPr>
        <w:t>are</w:t>
      </w:r>
      <w:r>
        <w:rPr>
          <w:rFonts w:ascii="Arial" w:hAnsi="Arial" w:cs="Arial"/>
          <w:bCs/>
          <w:sz w:val="22"/>
        </w:rPr>
        <w:t xml:space="preserve"> </w:t>
      </w:r>
      <w:r w:rsidR="00C2152C">
        <w:rPr>
          <w:rFonts w:ascii="Arial" w:hAnsi="Arial" w:cs="Arial"/>
          <w:bCs/>
          <w:sz w:val="22"/>
        </w:rPr>
        <w:t xml:space="preserve">not </w:t>
      </w:r>
      <w:r>
        <w:rPr>
          <w:rFonts w:ascii="Arial" w:hAnsi="Arial" w:cs="Arial"/>
          <w:bCs/>
          <w:sz w:val="22"/>
        </w:rPr>
        <w:t xml:space="preserve">shown in the balance sheet </w:t>
      </w:r>
      <w:r w:rsidR="00C2152C">
        <w:rPr>
          <w:rFonts w:ascii="Arial" w:hAnsi="Arial" w:cs="Arial"/>
          <w:bCs/>
          <w:sz w:val="22"/>
        </w:rPr>
        <w:t>but</w:t>
      </w:r>
      <w:r w:rsidR="00B9525C">
        <w:rPr>
          <w:rFonts w:ascii="Arial" w:hAnsi="Arial" w:cs="Arial"/>
          <w:bCs/>
          <w:sz w:val="22"/>
        </w:rPr>
        <w:t xml:space="preserve"> are disclosed in </w:t>
      </w:r>
      <w:r>
        <w:rPr>
          <w:rFonts w:ascii="Arial" w:hAnsi="Arial" w:cs="Arial"/>
          <w:bCs/>
          <w:sz w:val="22"/>
        </w:rPr>
        <w:t xml:space="preserve">note </w:t>
      </w:r>
      <w:r w:rsidR="00B9525C">
        <w:rPr>
          <w:rFonts w:ascii="Arial" w:hAnsi="Arial" w:cs="Arial"/>
          <w:bCs/>
          <w:sz w:val="22"/>
        </w:rPr>
        <w:t xml:space="preserve">29 </w:t>
      </w:r>
      <w:r>
        <w:rPr>
          <w:rFonts w:ascii="Arial" w:hAnsi="Arial" w:cs="Arial"/>
          <w:bCs/>
          <w:sz w:val="22"/>
        </w:rPr>
        <w:t>to the accounts.</w:t>
      </w:r>
    </w:p>
    <w:p w:rsidR="0020574F" w:rsidRDefault="0020574F" w:rsidP="0020574F">
      <w:pPr>
        <w:tabs>
          <w:tab w:val="left" w:pos="426"/>
        </w:tabs>
        <w:ind w:left="426" w:hanging="426"/>
        <w:rPr>
          <w:rFonts w:ascii="Arial" w:hAnsi="Arial" w:cs="Arial"/>
          <w:bCs/>
          <w:sz w:val="22"/>
        </w:rPr>
      </w:pPr>
    </w:p>
    <w:p w:rsidR="00AB6E90" w:rsidRDefault="0020574F" w:rsidP="0020574F">
      <w:pPr>
        <w:tabs>
          <w:tab w:val="left" w:pos="426"/>
        </w:tabs>
        <w:ind w:left="426" w:hanging="426"/>
        <w:rPr>
          <w:rFonts w:ascii="Arial" w:hAnsi="Arial" w:cs="Arial"/>
          <w:bCs/>
          <w:sz w:val="22"/>
        </w:rPr>
      </w:pPr>
      <w:r>
        <w:rPr>
          <w:rFonts w:ascii="Arial" w:hAnsi="Arial" w:cs="Arial"/>
          <w:bCs/>
          <w:sz w:val="22"/>
        </w:rPr>
        <w:tab/>
        <w:t xml:space="preserve">Heritage assets may be valued by any method that is appropriate and relevant and, where valuations are not practicable, may be carried </w:t>
      </w:r>
      <w:r w:rsidRPr="00A1143B">
        <w:rPr>
          <w:rFonts w:ascii="Arial" w:hAnsi="Arial" w:cs="Arial"/>
          <w:bCs/>
          <w:sz w:val="22"/>
        </w:rPr>
        <w:t xml:space="preserve">at historical cost. </w:t>
      </w:r>
      <w:r w:rsidR="00C2152C" w:rsidRPr="00A1143B">
        <w:rPr>
          <w:rFonts w:ascii="Arial" w:hAnsi="Arial" w:cs="Arial"/>
          <w:bCs/>
          <w:sz w:val="22"/>
        </w:rPr>
        <w:t xml:space="preserve">Where appropriate, the Authority’s heritage assets have been included in the balance sheet at insurance valuation. </w:t>
      </w:r>
      <w:r w:rsidRPr="00A1143B">
        <w:rPr>
          <w:rFonts w:ascii="Arial" w:hAnsi="Arial" w:cs="Arial"/>
          <w:bCs/>
          <w:sz w:val="22"/>
        </w:rPr>
        <w:t>Depreciation is not required on heritage assets which have indefinite lives and impairment reviews are only required where there is evidence of physical deterioration or breakage or where new doubts arise as to authenticity.</w:t>
      </w:r>
      <w:r w:rsidR="00B9525C" w:rsidRPr="00A1143B">
        <w:rPr>
          <w:rFonts w:ascii="Arial" w:hAnsi="Arial" w:cs="Arial"/>
          <w:bCs/>
          <w:sz w:val="22"/>
        </w:rPr>
        <w:t xml:space="preserve"> </w:t>
      </w:r>
    </w:p>
    <w:p w:rsidR="00AB6E90" w:rsidRDefault="00AB6E90" w:rsidP="0020574F">
      <w:pPr>
        <w:tabs>
          <w:tab w:val="left" w:pos="426"/>
        </w:tabs>
        <w:ind w:left="426" w:hanging="426"/>
        <w:rPr>
          <w:rFonts w:ascii="Arial" w:hAnsi="Arial" w:cs="Arial"/>
          <w:bCs/>
          <w:sz w:val="22"/>
        </w:rPr>
      </w:pPr>
    </w:p>
    <w:p w:rsidR="0020574F" w:rsidRPr="00A1143B" w:rsidRDefault="00B9525C" w:rsidP="00AB6E90">
      <w:pPr>
        <w:tabs>
          <w:tab w:val="left" w:pos="426"/>
        </w:tabs>
        <w:ind w:left="426"/>
        <w:rPr>
          <w:rFonts w:ascii="Arial" w:hAnsi="Arial" w:cs="Arial"/>
          <w:bCs/>
          <w:sz w:val="22"/>
        </w:rPr>
      </w:pPr>
      <w:r w:rsidRPr="00A1143B">
        <w:rPr>
          <w:rFonts w:ascii="Arial" w:hAnsi="Arial" w:cs="Arial"/>
          <w:bCs/>
          <w:sz w:val="22"/>
        </w:rPr>
        <w:t xml:space="preserve">Any impairment is recognised and measured in accordance with the Authority’s general policies on impairment. The Authority may occasionally dispose of heritage assets, the proceeds of such items are accounted for in accordance with the Authority’s </w:t>
      </w:r>
      <w:r w:rsidR="00C2152C" w:rsidRPr="00A1143B">
        <w:rPr>
          <w:rFonts w:ascii="Arial" w:hAnsi="Arial" w:cs="Arial"/>
          <w:bCs/>
          <w:sz w:val="22"/>
        </w:rPr>
        <w:t>general provisions relating to the disposal of property, plant and equipment. Disposal proceeds are disclosed separately in the notes to the financial statements and are accounted for in accordance with statutory accounting requirements relating to capital expenditure and capital receipts.</w:t>
      </w:r>
    </w:p>
    <w:p w:rsidR="0020574F" w:rsidRDefault="0020574F" w:rsidP="0020574F">
      <w:pPr>
        <w:rPr>
          <w:rFonts w:ascii="Arial" w:hAnsi="Arial" w:cs="Arial"/>
          <w:b/>
          <w:bCs/>
          <w:color w:val="000080"/>
          <w:sz w:val="22"/>
        </w:rPr>
      </w:pPr>
    </w:p>
    <w:p w:rsidR="004D6673" w:rsidRDefault="004D6673" w:rsidP="0020574F">
      <w:pPr>
        <w:rPr>
          <w:rFonts w:ascii="Arial" w:hAnsi="Arial" w:cs="Arial"/>
          <w:b/>
          <w:bCs/>
          <w:color w:val="000080"/>
          <w:sz w:val="22"/>
        </w:rPr>
      </w:pPr>
    </w:p>
    <w:p w:rsidR="0020574F" w:rsidRDefault="0020574F" w:rsidP="0020574F">
      <w:pPr>
        <w:tabs>
          <w:tab w:val="left" w:pos="426"/>
          <w:tab w:val="left" w:pos="567"/>
        </w:tabs>
        <w:rPr>
          <w:rFonts w:ascii="Arial" w:hAnsi="Arial" w:cs="Arial"/>
          <w:b/>
          <w:bCs/>
          <w:color w:val="000080"/>
          <w:sz w:val="22"/>
        </w:rPr>
      </w:pPr>
      <w:r>
        <w:rPr>
          <w:rFonts w:ascii="Arial" w:hAnsi="Arial" w:cs="Arial"/>
          <w:b/>
          <w:bCs/>
          <w:color w:val="000080"/>
          <w:sz w:val="22"/>
        </w:rPr>
        <w:t>k.</w:t>
      </w:r>
      <w:r>
        <w:rPr>
          <w:rFonts w:ascii="Arial" w:hAnsi="Arial" w:cs="Arial"/>
          <w:b/>
          <w:bCs/>
          <w:color w:val="000080"/>
          <w:sz w:val="22"/>
        </w:rPr>
        <w:tab/>
        <w:t>Intangible Assets</w:t>
      </w:r>
    </w:p>
    <w:p w:rsidR="0020574F" w:rsidRDefault="0020574F" w:rsidP="0020574F">
      <w:pPr>
        <w:rPr>
          <w:rFonts w:ascii="Arial" w:hAnsi="Arial" w:cs="Arial"/>
          <w:b/>
          <w:bCs/>
          <w:color w:val="000080"/>
          <w:sz w:val="22"/>
        </w:rPr>
      </w:pPr>
    </w:p>
    <w:p w:rsidR="0020574F" w:rsidRDefault="0020574F" w:rsidP="0020574F">
      <w:pPr>
        <w:ind w:left="426"/>
        <w:rPr>
          <w:rFonts w:ascii="Arial" w:hAnsi="Arial" w:cs="Arial"/>
          <w:sz w:val="22"/>
        </w:rPr>
      </w:pPr>
      <w:r>
        <w:rPr>
          <w:rFonts w:ascii="Arial" w:hAnsi="Arial" w:cs="Arial"/>
          <w:sz w:val="22"/>
        </w:rPr>
        <w:t>Expenditure on non-monetary assets that do not have physical substance but are controlled by the Authority (e.g. software licences) is capitalised when it is expected that future economic benefits or service potential will flow from the intangible asset to the Authority.</w:t>
      </w:r>
    </w:p>
    <w:p w:rsidR="0020574F" w:rsidRDefault="0020574F" w:rsidP="0020574F">
      <w:pPr>
        <w:ind w:left="426"/>
        <w:rPr>
          <w:rFonts w:ascii="Arial" w:hAnsi="Arial" w:cs="Arial"/>
          <w:sz w:val="22"/>
        </w:rPr>
      </w:pPr>
    </w:p>
    <w:p w:rsidR="0020574F" w:rsidRDefault="0020574F" w:rsidP="0020574F">
      <w:pPr>
        <w:ind w:left="426"/>
        <w:rPr>
          <w:rFonts w:ascii="Arial" w:hAnsi="Arial" w:cs="Arial"/>
          <w:sz w:val="22"/>
        </w:rPr>
      </w:pPr>
      <w:r>
        <w:rPr>
          <w:rFonts w:ascii="Arial" w:hAnsi="Arial" w:cs="Arial"/>
          <w:sz w:val="22"/>
        </w:rPr>
        <w:t>Intangible assets are measured initially at cost. Amounts are only revalued where the fair value of the assets held by the Authority can be determined by reference to an active market. In practice, no intangible asset held by the Authority meets this criterion and intangible assets are, therefore, carried at amortised cost. The depreciable amount of an intangible asset is amortised over its useful life to the relevant service in the comprehensive income and expenditure statement. An asset is tested for impairment whenever there is an indication that the asset might be impaired and any impairment losses recognised are charged to the other operating expenditure section in the comprehensive income and expenditure statement. Any gain or loss arising on the disposal or abandonment of an intangible asset is charged to the relevant service line in the comprehensive income and expenditure statement.</w:t>
      </w:r>
    </w:p>
    <w:p w:rsidR="0020574F" w:rsidRDefault="0020574F" w:rsidP="0020574F">
      <w:pPr>
        <w:ind w:left="426"/>
        <w:rPr>
          <w:rFonts w:ascii="Arial" w:hAnsi="Arial" w:cs="Arial"/>
          <w:sz w:val="22"/>
        </w:rPr>
      </w:pPr>
    </w:p>
    <w:p w:rsidR="008869ED" w:rsidRPr="00AE0DA1" w:rsidRDefault="0020574F" w:rsidP="00AE0DA1">
      <w:pPr>
        <w:ind w:left="426"/>
        <w:rPr>
          <w:rFonts w:ascii="Arial" w:hAnsi="Arial" w:cs="Arial"/>
          <w:b/>
          <w:bCs/>
          <w:color w:val="000080"/>
          <w:sz w:val="22"/>
        </w:rPr>
      </w:pPr>
      <w:r>
        <w:rPr>
          <w:rFonts w:ascii="Arial" w:hAnsi="Arial" w:cs="Arial"/>
          <w:sz w:val="22"/>
        </w:rPr>
        <w:t>Amortisation, impairment losses and disposal gains and losses charged to the comprehensive income and expenditure statement are reversed out in the movement in reserves statement and transferred to the capital adjustment account and the capital receipts reserve for any sale proceeds greater than £10,000.</w:t>
      </w:r>
    </w:p>
    <w:p w:rsidR="008869ED" w:rsidRDefault="008869ED" w:rsidP="0020574F">
      <w:pPr>
        <w:rPr>
          <w:rFonts w:ascii="Arial" w:hAnsi="Arial" w:cs="Arial"/>
          <w:b/>
          <w:bCs/>
          <w:color w:val="000080"/>
          <w:sz w:val="24"/>
        </w:rPr>
      </w:pPr>
    </w:p>
    <w:p w:rsidR="00B95630" w:rsidRDefault="00B95630" w:rsidP="0020574F">
      <w:pPr>
        <w:rPr>
          <w:rFonts w:ascii="Arial" w:hAnsi="Arial" w:cs="Arial"/>
          <w:b/>
          <w:bCs/>
          <w:color w:val="000080"/>
          <w:sz w:val="24"/>
        </w:rPr>
      </w:pPr>
    </w:p>
    <w:p w:rsidR="00B95630" w:rsidRDefault="00B95630" w:rsidP="0020574F">
      <w:pPr>
        <w:rPr>
          <w:rFonts w:ascii="Arial" w:hAnsi="Arial" w:cs="Arial"/>
          <w:b/>
          <w:bCs/>
          <w:color w:val="000080"/>
          <w:sz w:val="24"/>
        </w:rPr>
      </w:pPr>
    </w:p>
    <w:p w:rsidR="0020574F" w:rsidRDefault="0020574F" w:rsidP="0020574F">
      <w:pPr>
        <w:tabs>
          <w:tab w:val="left" w:pos="426"/>
          <w:tab w:val="left" w:pos="709"/>
        </w:tabs>
        <w:rPr>
          <w:rFonts w:ascii="Arial" w:hAnsi="Arial" w:cs="Arial"/>
          <w:b/>
          <w:bCs/>
          <w:color w:val="000080"/>
          <w:sz w:val="22"/>
        </w:rPr>
      </w:pPr>
      <w:r>
        <w:rPr>
          <w:rFonts w:ascii="Arial" w:hAnsi="Arial" w:cs="Arial"/>
          <w:b/>
          <w:bCs/>
          <w:color w:val="000080"/>
          <w:sz w:val="22"/>
        </w:rPr>
        <w:lastRenderedPageBreak/>
        <w:t>l.</w:t>
      </w:r>
      <w:r>
        <w:rPr>
          <w:rFonts w:ascii="Arial" w:hAnsi="Arial" w:cs="Arial"/>
          <w:b/>
          <w:bCs/>
          <w:color w:val="000080"/>
          <w:sz w:val="22"/>
        </w:rPr>
        <w:tab/>
        <w:t>Inventories</w:t>
      </w:r>
      <w:r w:rsidR="00282A7B">
        <w:rPr>
          <w:rFonts w:ascii="Arial" w:hAnsi="Arial" w:cs="Arial"/>
          <w:b/>
          <w:bCs/>
          <w:color w:val="000080"/>
          <w:sz w:val="22"/>
        </w:rPr>
        <w:t xml:space="preserve"> and Long-Term Contracts</w:t>
      </w:r>
    </w:p>
    <w:p w:rsidR="0020574F" w:rsidRDefault="0020574F" w:rsidP="0020574F">
      <w:pPr>
        <w:pStyle w:val="BodyTextIndent2"/>
        <w:rPr>
          <w:rFonts w:ascii="Arial" w:hAnsi="Arial" w:cs="Arial"/>
          <w:bCs/>
          <w:sz w:val="22"/>
        </w:rPr>
      </w:pPr>
    </w:p>
    <w:p w:rsidR="00AB6E90" w:rsidRPr="00AB6E90" w:rsidRDefault="0020574F" w:rsidP="00AB6E90">
      <w:pPr>
        <w:ind w:left="426"/>
        <w:rPr>
          <w:rFonts w:ascii="Arial" w:hAnsi="Arial" w:cs="Arial"/>
          <w:color w:val="000000" w:themeColor="text1"/>
          <w:sz w:val="22"/>
        </w:rPr>
      </w:pPr>
      <w:r>
        <w:rPr>
          <w:rFonts w:ascii="Arial" w:hAnsi="Arial" w:cs="Arial"/>
          <w:bCs/>
          <w:sz w:val="22"/>
        </w:rPr>
        <w:t xml:space="preserve">Inventories are included in the balance sheet at the lower of cost or net realisable value. </w:t>
      </w:r>
      <w:r w:rsidR="00AB6E90" w:rsidRPr="00AB6E90">
        <w:rPr>
          <w:rFonts w:ascii="Arial" w:hAnsi="Arial" w:cs="Arial"/>
          <w:bCs/>
          <w:color w:val="000000" w:themeColor="text1"/>
          <w:sz w:val="22"/>
        </w:rPr>
        <w:t xml:space="preserve">Long-term contracts are accounted for on the basis of charging the relevant service in the </w:t>
      </w:r>
      <w:r w:rsidR="00AB6E90" w:rsidRPr="00AB6E90">
        <w:rPr>
          <w:rFonts w:ascii="Arial" w:hAnsi="Arial" w:cs="Arial"/>
          <w:color w:val="000000" w:themeColor="text1"/>
          <w:sz w:val="22"/>
        </w:rPr>
        <w:t xml:space="preserve">comprehensive income and expenditure statement </w:t>
      </w:r>
      <w:r w:rsidR="00AB6E90" w:rsidRPr="00AB6E90">
        <w:rPr>
          <w:rFonts w:ascii="Arial" w:hAnsi="Arial" w:cs="Arial"/>
          <w:bCs/>
          <w:color w:val="000000" w:themeColor="text1"/>
          <w:sz w:val="22"/>
        </w:rPr>
        <w:t>with the value of works and services received under the contract during the financial year.</w:t>
      </w:r>
    </w:p>
    <w:p w:rsidR="0020574F" w:rsidRDefault="0020574F" w:rsidP="0020574F">
      <w:pPr>
        <w:pStyle w:val="BodyTextIndent2"/>
        <w:ind w:left="426"/>
        <w:rPr>
          <w:rFonts w:ascii="Arial" w:hAnsi="Arial" w:cs="Arial"/>
          <w:bCs/>
          <w:sz w:val="22"/>
        </w:rPr>
      </w:pPr>
    </w:p>
    <w:p w:rsidR="002C5133" w:rsidRDefault="002C5133" w:rsidP="0020574F">
      <w:pPr>
        <w:rPr>
          <w:rFonts w:ascii="Arial" w:hAnsi="Arial" w:cs="Arial"/>
          <w:b/>
          <w:bCs/>
          <w:color w:val="000080"/>
          <w:sz w:val="22"/>
        </w:rPr>
      </w:pPr>
    </w:p>
    <w:p w:rsidR="0020574F" w:rsidRDefault="0020574F" w:rsidP="0020574F">
      <w:pPr>
        <w:pStyle w:val="BodyTextIndent"/>
        <w:tabs>
          <w:tab w:val="left" w:pos="426"/>
        </w:tabs>
        <w:ind w:left="0"/>
        <w:jc w:val="left"/>
        <w:rPr>
          <w:rFonts w:ascii="Arial" w:hAnsi="Arial" w:cs="Arial"/>
          <w:b/>
          <w:bCs/>
          <w:color w:val="000080"/>
          <w:sz w:val="22"/>
        </w:rPr>
      </w:pPr>
      <w:r>
        <w:rPr>
          <w:rFonts w:ascii="Arial" w:hAnsi="Arial" w:cs="Arial"/>
          <w:b/>
          <w:bCs/>
          <w:color w:val="000080"/>
          <w:sz w:val="22"/>
        </w:rPr>
        <w:t xml:space="preserve">m. </w:t>
      </w:r>
      <w:r>
        <w:rPr>
          <w:rFonts w:ascii="Arial" w:hAnsi="Arial" w:cs="Arial"/>
          <w:b/>
          <w:bCs/>
          <w:color w:val="000080"/>
          <w:sz w:val="22"/>
        </w:rPr>
        <w:tab/>
        <w:t>Leases</w:t>
      </w:r>
    </w:p>
    <w:p w:rsidR="0020574F" w:rsidRDefault="0020574F" w:rsidP="0020574F">
      <w:pPr>
        <w:pStyle w:val="BodyTextIndent"/>
        <w:jc w:val="left"/>
        <w:rPr>
          <w:rFonts w:ascii="Arial" w:hAnsi="Arial" w:cs="Arial"/>
          <w:sz w:val="22"/>
        </w:rPr>
      </w:pPr>
    </w:p>
    <w:p w:rsidR="0020574F" w:rsidRDefault="0020574F" w:rsidP="008869ED">
      <w:pPr>
        <w:pStyle w:val="BodyTextIndent2"/>
        <w:ind w:left="426"/>
        <w:jc w:val="left"/>
        <w:rPr>
          <w:rFonts w:ascii="Arial" w:hAnsi="Arial" w:cs="Arial"/>
          <w:bCs/>
          <w:sz w:val="22"/>
        </w:rPr>
      </w:pPr>
      <w:r>
        <w:rPr>
          <w:rFonts w:ascii="Arial" w:hAnsi="Arial" w:cs="Arial"/>
          <w:bCs/>
          <w:sz w:val="22"/>
        </w:rPr>
        <w:t>Leases are classified as finance leases where the terms of the lease transfer substantially all the risks and rewards incidental to ownership of the property, plant and equipment from the lessor to the lessee. All other leases are classified as operating leases.</w:t>
      </w:r>
    </w:p>
    <w:p w:rsidR="0020574F" w:rsidRDefault="0020574F" w:rsidP="008869ED">
      <w:pPr>
        <w:pStyle w:val="BodyTextIndent2"/>
        <w:ind w:left="0"/>
        <w:jc w:val="left"/>
        <w:rPr>
          <w:rFonts w:ascii="Arial" w:hAnsi="Arial" w:cs="Arial"/>
          <w:bCs/>
          <w:sz w:val="22"/>
        </w:rPr>
      </w:pPr>
    </w:p>
    <w:p w:rsidR="00AB6E90" w:rsidRPr="00AB6E90" w:rsidRDefault="00AB6E90" w:rsidP="00AB6E90">
      <w:pPr>
        <w:ind w:left="426"/>
        <w:rPr>
          <w:rFonts w:ascii="Arial" w:hAnsi="Arial" w:cs="Arial"/>
          <w:bCs/>
          <w:color w:val="000000" w:themeColor="text1"/>
          <w:sz w:val="22"/>
        </w:rPr>
      </w:pPr>
      <w:r w:rsidRPr="00AB6E90">
        <w:rPr>
          <w:rFonts w:ascii="Arial" w:hAnsi="Arial" w:cs="Arial"/>
          <w:bCs/>
          <w:color w:val="000000" w:themeColor="text1"/>
          <w:sz w:val="22"/>
        </w:rPr>
        <w:t>Where a lease covers both land and buildings, the land and buildings elements are considered separately for classification.</w:t>
      </w:r>
    </w:p>
    <w:p w:rsidR="00AB6E90" w:rsidRDefault="00AB6E90" w:rsidP="008869ED">
      <w:pPr>
        <w:pStyle w:val="BodyTextIndent2"/>
        <w:ind w:left="426"/>
        <w:jc w:val="left"/>
        <w:rPr>
          <w:rFonts w:ascii="Arial" w:hAnsi="Arial" w:cs="Arial"/>
          <w:bCs/>
          <w:sz w:val="22"/>
        </w:rPr>
      </w:pPr>
    </w:p>
    <w:p w:rsidR="0020574F" w:rsidRDefault="0020574F" w:rsidP="008869ED">
      <w:pPr>
        <w:pStyle w:val="BodyTextIndent2"/>
        <w:ind w:left="426"/>
        <w:jc w:val="left"/>
        <w:rPr>
          <w:rFonts w:ascii="Arial" w:hAnsi="Arial" w:cs="Arial"/>
          <w:bCs/>
          <w:sz w:val="22"/>
        </w:rPr>
      </w:pPr>
      <w:r>
        <w:rPr>
          <w:rFonts w:ascii="Arial" w:hAnsi="Arial" w:cs="Arial"/>
          <w:bCs/>
          <w:sz w:val="22"/>
        </w:rPr>
        <w:t xml:space="preserve">Rentals paid under operating leases are charged to the comprehensive income and expenditure statement as an expense of the service benefiting from the use of the leased property, plant or equipment. Charges are made on a straight-line basis over the life of the lease </w:t>
      </w:r>
    </w:p>
    <w:p w:rsidR="0020574F" w:rsidRDefault="0020574F" w:rsidP="008869ED">
      <w:pPr>
        <w:rPr>
          <w:rFonts w:ascii="Arial" w:hAnsi="Arial" w:cs="Arial"/>
          <w:sz w:val="22"/>
        </w:rPr>
      </w:pPr>
    </w:p>
    <w:p w:rsidR="0020574F" w:rsidRDefault="0020574F" w:rsidP="008869ED">
      <w:pPr>
        <w:ind w:left="426"/>
        <w:rPr>
          <w:rFonts w:ascii="Arial" w:hAnsi="Arial" w:cs="Arial"/>
          <w:sz w:val="22"/>
        </w:rPr>
      </w:pPr>
      <w:r>
        <w:rPr>
          <w:rFonts w:ascii="Arial" w:hAnsi="Arial" w:cs="Arial"/>
          <w:sz w:val="22"/>
        </w:rPr>
        <w:t>Arrangements such as contract hire agreements that do not have the legal status of a lease but convey a right to use an asset in return for payment are accounted for under this policy where the fulfilment of the arrangement is dependent on the use of specific assets.</w:t>
      </w: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p>
    <w:p w:rsidR="0020574F" w:rsidRDefault="0020574F" w:rsidP="0020574F">
      <w:pPr>
        <w:tabs>
          <w:tab w:val="left" w:pos="426"/>
        </w:tabs>
        <w:rPr>
          <w:rFonts w:ascii="Arial" w:hAnsi="Arial" w:cs="Arial"/>
          <w:b/>
          <w:bCs/>
          <w:color w:val="000080"/>
          <w:sz w:val="22"/>
        </w:rPr>
      </w:pPr>
      <w:r>
        <w:rPr>
          <w:rFonts w:ascii="Arial" w:hAnsi="Arial" w:cs="Arial"/>
          <w:b/>
          <w:bCs/>
          <w:color w:val="000080"/>
          <w:sz w:val="22"/>
        </w:rPr>
        <w:t>n.</w:t>
      </w:r>
      <w:r>
        <w:rPr>
          <w:rFonts w:ascii="Arial" w:hAnsi="Arial" w:cs="Arial"/>
          <w:b/>
          <w:bCs/>
          <w:color w:val="000080"/>
          <w:sz w:val="22"/>
        </w:rPr>
        <w:tab/>
        <w:t>Overheads and Support Services</w:t>
      </w:r>
    </w:p>
    <w:p w:rsidR="0020574F" w:rsidRDefault="0020574F" w:rsidP="0020574F">
      <w:pPr>
        <w:rPr>
          <w:rFonts w:ascii="Arial" w:hAnsi="Arial" w:cs="Arial"/>
          <w:b/>
          <w:bCs/>
          <w:color w:val="000080"/>
          <w:sz w:val="22"/>
        </w:rPr>
      </w:pPr>
    </w:p>
    <w:p w:rsidR="0020574F" w:rsidRDefault="0020574F" w:rsidP="0020574F">
      <w:pPr>
        <w:ind w:left="426"/>
        <w:rPr>
          <w:rFonts w:ascii="Arial" w:hAnsi="Arial" w:cs="Arial"/>
          <w:sz w:val="22"/>
        </w:rPr>
      </w:pPr>
      <w:r>
        <w:rPr>
          <w:rFonts w:ascii="Arial" w:hAnsi="Arial" w:cs="Arial"/>
          <w:sz w:val="22"/>
        </w:rPr>
        <w:t xml:space="preserve">The costs of overheads and support services are charges to those services which benefit from the provision of the overheads and support services in accordance with the costing principles in the Service </w:t>
      </w:r>
      <w:r w:rsidR="00CB60E0">
        <w:rPr>
          <w:rFonts w:ascii="Arial" w:hAnsi="Arial" w:cs="Arial"/>
          <w:sz w:val="22"/>
        </w:rPr>
        <w:t>Reporting Code of Pract</w:t>
      </w:r>
      <w:r w:rsidR="00AB6E90">
        <w:rPr>
          <w:rFonts w:ascii="Arial" w:hAnsi="Arial" w:cs="Arial"/>
          <w:sz w:val="22"/>
        </w:rPr>
        <w:t>ice</w:t>
      </w:r>
      <w:r>
        <w:rPr>
          <w:rFonts w:ascii="Arial" w:hAnsi="Arial" w:cs="Arial"/>
          <w:sz w:val="22"/>
        </w:rPr>
        <w:t>. The full cost of overheads and support services are charged out to users in proportion to the benefits received, with the exception of:</w:t>
      </w:r>
    </w:p>
    <w:p w:rsidR="0020574F" w:rsidRDefault="0020574F" w:rsidP="0020574F">
      <w:pPr>
        <w:ind w:left="720"/>
        <w:rPr>
          <w:rFonts w:ascii="Arial" w:hAnsi="Arial" w:cs="Arial"/>
          <w:sz w:val="22"/>
        </w:rPr>
      </w:pPr>
      <w:r>
        <w:rPr>
          <w:rFonts w:ascii="Arial" w:hAnsi="Arial" w:cs="Arial"/>
          <w:sz w:val="22"/>
        </w:rPr>
        <w:t xml:space="preserve"> </w:t>
      </w:r>
    </w:p>
    <w:p w:rsidR="0020574F" w:rsidRPr="00A1143B" w:rsidRDefault="0020574F" w:rsidP="00A1143B">
      <w:pPr>
        <w:numPr>
          <w:ilvl w:val="0"/>
          <w:numId w:val="17"/>
        </w:numPr>
        <w:tabs>
          <w:tab w:val="clear" w:pos="1080"/>
          <w:tab w:val="num" w:pos="851"/>
        </w:tabs>
        <w:ind w:left="851" w:hanging="425"/>
        <w:rPr>
          <w:rFonts w:ascii="Arial" w:hAnsi="Arial" w:cs="Arial"/>
          <w:sz w:val="22"/>
        </w:rPr>
      </w:pPr>
      <w:r>
        <w:rPr>
          <w:rFonts w:ascii="Arial" w:hAnsi="Arial" w:cs="Arial"/>
          <w:sz w:val="22"/>
        </w:rPr>
        <w:t>the corporate and democratic core costs relating to the Authority’s status as a multi-functional, democratic organisation; and</w:t>
      </w:r>
    </w:p>
    <w:p w:rsidR="0020574F" w:rsidRPr="00AB34DE" w:rsidRDefault="0020574F" w:rsidP="0020574F">
      <w:pPr>
        <w:numPr>
          <w:ilvl w:val="0"/>
          <w:numId w:val="17"/>
        </w:numPr>
        <w:tabs>
          <w:tab w:val="clear" w:pos="1080"/>
          <w:tab w:val="num" w:pos="851"/>
        </w:tabs>
        <w:ind w:left="851" w:hanging="425"/>
        <w:rPr>
          <w:rFonts w:ascii="Arial" w:hAnsi="Arial" w:cs="Arial"/>
          <w:b/>
          <w:bCs/>
          <w:color w:val="000080"/>
          <w:sz w:val="22"/>
        </w:rPr>
      </w:pPr>
      <w:proofErr w:type="gramStart"/>
      <w:r>
        <w:rPr>
          <w:rFonts w:ascii="Arial" w:hAnsi="Arial" w:cs="Arial"/>
          <w:sz w:val="22"/>
        </w:rPr>
        <w:t>non-distributed</w:t>
      </w:r>
      <w:proofErr w:type="gramEnd"/>
      <w:r>
        <w:rPr>
          <w:rFonts w:ascii="Arial" w:hAnsi="Arial" w:cs="Arial"/>
          <w:sz w:val="22"/>
        </w:rPr>
        <w:t xml:space="preserve"> costs include pension costs, relating to past service costs and gains and losses on settlements and curtailments, and any depreciation and impairment losses chargeable on assets held for sale. Pension costs, depreciation and impairment are reversed out in the movement in reserves statement.</w:t>
      </w:r>
    </w:p>
    <w:p w:rsidR="00AB34DE" w:rsidRDefault="00AB34DE" w:rsidP="00AB34DE">
      <w:pPr>
        <w:rPr>
          <w:rFonts w:ascii="Arial" w:hAnsi="Arial" w:cs="Arial"/>
          <w:b/>
          <w:bCs/>
          <w:color w:val="000080"/>
          <w:sz w:val="22"/>
        </w:rPr>
      </w:pPr>
    </w:p>
    <w:p w:rsidR="0020574F" w:rsidRPr="00A1143B" w:rsidRDefault="0068223F" w:rsidP="0068223F">
      <w:pPr>
        <w:ind w:left="426"/>
        <w:rPr>
          <w:rFonts w:ascii="Arial" w:hAnsi="Arial" w:cs="Arial"/>
          <w:bCs/>
          <w:sz w:val="22"/>
        </w:rPr>
      </w:pPr>
      <w:r w:rsidRPr="00A1143B">
        <w:rPr>
          <w:rFonts w:ascii="Arial" w:hAnsi="Arial" w:cs="Arial"/>
          <w:bCs/>
          <w:sz w:val="22"/>
        </w:rPr>
        <w:t xml:space="preserve">These two categories are defined in the </w:t>
      </w:r>
      <w:r w:rsidRPr="00A1143B">
        <w:rPr>
          <w:rFonts w:ascii="Arial" w:hAnsi="Arial" w:cs="Arial"/>
          <w:sz w:val="22"/>
        </w:rPr>
        <w:t>Service Re</w:t>
      </w:r>
      <w:r w:rsidR="00AB6E90">
        <w:rPr>
          <w:rFonts w:ascii="Arial" w:hAnsi="Arial" w:cs="Arial"/>
          <w:sz w:val="22"/>
        </w:rPr>
        <w:t>porting Code of Practice</w:t>
      </w:r>
      <w:r w:rsidR="004557C2" w:rsidRPr="00A1143B">
        <w:rPr>
          <w:rFonts w:ascii="Arial" w:hAnsi="Arial" w:cs="Arial"/>
          <w:sz w:val="22"/>
        </w:rPr>
        <w:t xml:space="preserve"> and accounted for as separate headings in the Comprehensive Income and Expenditure Statement, as part of Net Expenditure on Continuing Services.</w:t>
      </w:r>
    </w:p>
    <w:p w:rsidR="0020574F" w:rsidRDefault="0020574F" w:rsidP="0020574F">
      <w:pPr>
        <w:rPr>
          <w:rFonts w:ascii="Arial" w:hAnsi="Arial" w:cs="Arial"/>
          <w:b/>
          <w:bCs/>
          <w:color w:val="000080"/>
          <w:sz w:val="22"/>
        </w:rPr>
      </w:pPr>
    </w:p>
    <w:p w:rsidR="004D6673" w:rsidRDefault="004D6673" w:rsidP="0020574F">
      <w:pPr>
        <w:rPr>
          <w:rFonts w:ascii="Arial" w:hAnsi="Arial" w:cs="Arial"/>
          <w:b/>
          <w:bCs/>
          <w:color w:val="000080"/>
          <w:sz w:val="22"/>
        </w:rPr>
      </w:pPr>
    </w:p>
    <w:p w:rsidR="0020574F" w:rsidRDefault="0020574F" w:rsidP="0020574F">
      <w:pPr>
        <w:tabs>
          <w:tab w:val="left" w:pos="0"/>
          <w:tab w:val="left" w:pos="426"/>
        </w:tabs>
        <w:rPr>
          <w:rFonts w:ascii="Arial" w:hAnsi="Arial" w:cs="Arial"/>
          <w:b/>
          <w:bCs/>
          <w:color w:val="000080"/>
          <w:sz w:val="22"/>
        </w:rPr>
      </w:pPr>
      <w:r>
        <w:rPr>
          <w:rFonts w:ascii="Arial" w:hAnsi="Arial" w:cs="Arial"/>
          <w:b/>
          <w:bCs/>
          <w:color w:val="000080"/>
          <w:sz w:val="22"/>
        </w:rPr>
        <w:t>o.</w:t>
      </w:r>
      <w:r>
        <w:rPr>
          <w:rFonts w:ascii="Arial" w:hAnsi="Arial" w:cs="Arial"/>
          <w:b/>
          <w:bCs/>
          <w:color w:val="000080"/>
          <w:sz w:val="22"/>
        </w:rPr>
        <w:tab/>
        <w:t>Property, Plant and Equipment</w:t>
      </w:r>
    </w:p>
    <w:p w:rsidR="0020574F" w:rsidRDefault="0020574F" w:rsidP="0020574F">
      <w:pPr>
        <w:rPr>
          <w:rFonts w:ascii="Arial" w:hAnsi="Arial" w:cs="Arial"/>
          <w:b/>
          <w:bCs/>
          <w:color w:val="000080"/>
          <w:sz w:val="22"/>
        </w:rPr>
      </w:pPr>
    </w:p>
    <w:p w:rsidR="0020574F" w:rsidRDefault="0020574F" w:rsidP="008869ED">
      <w:pPr>
        <w:pStyle w:val="BodyTextIndent2"/>
        <w:ind w:left="426"/>
        <w:jc w:val="left"/>
        <w:rPr>
          <w:rFonts w:ascii="Arial" w:hAnsi="Arial" w:cs="Arial"/>
          <w:bCs/>
          <w:sz w:val="22"/>
        </w:rPr>
      </w:pPr>
      <w:r>
        <w:rPr>
          <w:rFonts w:ascii="Arial" w:hAnsi="Arial" w:cs="Arial"/>
          <w:bCs/>
          <w:sz w:val="22"/>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rsidR="0020574F" w:rsidRDefault="0020574F" w:rsidP="0020574F">
      <w:pPr>
        <w:ind w:left="720"/>
        <w:rPr>
          <w:rFonts w:ascii="Arial" w:hAnsi="Arial" w:cs="Arial"/>
          <w:color w:val="000080"/>
          <w:sz w:val="22"/>
        </w:rPr>
      </w:pPr>
    </w:p>
    <w:p w:rsidR="0020574F" w:rsidRDefault="0020574F" w:rsidP="0020574F">
      <w:pPr>
        <w:ind w:left="426"/>
        <w:rPr>
          <w:rFonts w:ascii="Arial" w:hAnsi="Arial" w:cs="Arial"/>
          <w:color w:val="000080"/>
          <w:sz w:val="22"/>
        </w:rPr>
      </w:pPr>
      <w:r>
        <w:rPr>
          <w:rFonts w:ascii="Arial" w:hAnsi="Arial" w:cs="Arial"/>
          <w:color w:val="000080"/>
          <w:sz w:val="22"/>
        </w:rPr>
        <w:t xml:space="preserve">Recognition </w:t>
      </w:r>
    </w:p>
    <w:p w:rsidR="0020574F" w:rsidRDefault="0020574F" w:rsidP="0020574F">
      <w:pPr>
        <w:ind w:left="284"/>
        <w:rPr>
          <w:rFonts w:ascii="Arial" w:hAnsi="Arial" w:cs="Arial"/>
          <w:color w:val="000080"/>
          <w:sz w:val="22"/>
        </w:rPr>
      </w:pPr>
    </w:p>
    <w:p w:rsidR="0020574F" w:rsidRDefault="0020574F" w:rsidP="0020574F">
      <w:pPr>
        <w:ind w:left="426"/>
        <w:rPr>
          <w:rFonts w:ascii="Arial" w:hAnsi="Arial" w:cs="Arial"/>
          <w:sz w:val="22"/>
        </w:rPr>
      </w:pPr>
      <w:r>
        <w:rPr>
          <w:rFonts w:ascii="Arial" w:hAnsi="Arial" w:cs="Arial"/>
          <w:sz w:val="22"/>
        </w:rPr>
        <w:t>Expenditure on the acquisition, creation or enhancement of property, plant and equipment is capitalised on an accruals basis, provided that it is probable that the future economic benefits or service potential associated with the asset will flow to the Authority and the cost of the asset can be measured reliably. Expenditure that maintains but does not add to the asset’s potential to deliver future economic benefits or service potential, i.e. repairs and maintenance, is charge</w:t>
      </w:r>
      <w:r w:rsidR="008869ED">
        <w:rPr>
          <w:rFonts w:ascii="Arial" w:hAnsi="Arial" w:cs="Arial"/>
          <w:sz w:val="22"/>
        </w:rPr>
        <w:t>d</w:t>
      </w:r>
      <w:r>
        <w:rPr>
          <w:rFonts w:ascii="Arial" w:hAnsi="Arial" w:cs="Arial"/>
          <w:sz w:val="22"/>
        </w:rPr>
        <w:t xml:space="preserve"> as an expense when it is incurred.</w:t>
      </w:r>
    </w:p>
    <w:p w:rsidR="0020574F" w:rsidRDefault="0020574F" w:rsidP="0020574F">
      <w:pPr>
        <w:ind w:left="426"/>
        <w:rPr>
          <w:rFonts w:ascii="Arial" w:hAnsi="Arial" w:cs="Arial"/>
          <w:sz w:val="22"/>
        </w:rPr>
      </w:pPr>
    </w:p>
    <w:p w:rsidR="0020574F" w:rsidRDefault="0020574F" w:rsidP="0020574F">
      <w:pPr>
        <w:ind w:left="426"/>
        <w:rPr>
          <w:rFonts w:ascii="Arial" w:hAnsi="Arial" w:cs="Arial"/>
          <w:color w:val="000080"/>
          <w:sz w:val="22"/>
        </w:rPr>
      </w:pPr>
      <w:r>
        <w:rPr>
          <w:rFonts w:ascii="Arial" w:hAnsi="Arial" w:cs="Arial"/>
          <w:color w:val="000080"/>
          <w:sz w:val="22"/>
        </w:rPr>
        <w:t>Measurement</w:t>
      </w:r>
    </w:p>
    <w:p w:rsidR="0020574F" w:rsidRDefault="0020574F" w:rsidP="0020574F">
      <w:pPr>
        <w:ind w:left="284"/>
        <w:rPr>
          <w:rFonts w:ascii="Arial" w:hAnsi="Arial" w:cs="Arial"/>
          <w:color w:val="000080"/>
          <w:sz w:val="22"/>
        </w:rPr>
      </w:pPr>
    </w:p>
    <w:p w:rsidR="0020574F" w:rsidRDefault="0020574F" w:rsidP="0020574F">
      <w:pPr>
        <w:widowControl w:val="0"/>
        <w:ind w:left="426"/>
        <w:rPr>
          <w:rFonts w:ascii="Arial" w:hAnsi="Arial" w:cs="Arial"/>
          <w:sz w:val="22"/>
        </w:rPr>
      </w:pPr>
      <w:r>
        <w:rPr>
          <w:rFonts w:ascii="Arial" w:hAnsi="Arial" w:cs="Arial"/>
          <w:sz w:val="22"/>
        </w:rPr>
        <w:t>Assets are initially measured at cost, comprising the purchase price and any costs attributable to bringing the asset to the location and condition necessary for it to be capable of operating in the manner intended by the Authority.</w:t>
      </w:r>
    </w:p>
    <w:p w:rsidR="0020574F" w:rsidRDefault="0020574F" w:rsidP="0020574F">
      <w:pPr>
        <w:ind w:left="426"/>
        <w:rPr>
          <w:rFonts w:ascii="Arial" w:hAnsi="Arial" w:cs="Arial"/>
          <w:sz w:val="22"/>
        </w:rPr>
      </w:pPr>
    </w:p>
    <w:p w:rsidR="0020574F" w:rsidRDefault="0020574F" w:rsidP="0020574F">
      <w:pPr>
        <w:ind w:left="426"/>
        <w:rPr>
          <w:rFonts w:ascii="Arial" w:hAnsi="Arial" w:cs="Arial"/>
          <w:sz w:val="22"/>
        </w:rPr>
      </w:pPr>
      <w:r>
        <w:rPr>
          <w:rFonts w:ascii="Arial" w:hAnsi="Arial" w:cs="Arial"/>
          <w:sz w:val="22"/>
        </w:rPr>
        <w:t>Assets are then carried in the balance sheet using the following measurement bases:</w:t>
      </w:r>
    </w:p>
    <w:p w:rsidR="0020574F" w:rsidRDefault="0020574F" w:rsidP="0020574F">
      <w:pPr>
        <w:ind w:left="720"/>
        <w:rPr>
          <w:rFonts w:ascii="Arial" w:hAnsi="Arial" w:cs="Arial"/>
          <w:sz w:val="22"/>
        </w:rPr>
      </w:pPr>
    </w:p>
    <w:p w:rsidR="0020574F" w:rsidRDefault="0020574F" w:rsidP="0020574F">
      <w:pPr>
        <w:numPr>
          <w:ilvl w:val="0"/>
          <w:numId w:val="18"/>
        </w:numPr>
        <w:tabs>
          <w:tab w:val="clear" w:pos="1080"/>
          <w:tab w:val="num" w:pos="851"/>
        </w:tabs>
        <w:ind w:hanging="654"/>
        <w:rPr>
          <w:rFonts w:ascii="Arial" w:hAnsi="Arial" w:cs="Arial"/>
          <w:sz w:val="22"/>
        </w:rPr>
      </w:pPr>
      <w:r>
        <w:rPr>
          <w:rFonts w:ascii="Arial" w:hAnsi="Arial" w:cs="Arial"/>
          <w:sz w:val="22"/>
        </w:rPr>
        <w:t xml:space="preserve">infrastructure, community assets and assets under construction </w:t>
      </w:r>
    </w:p>
    <w:p w:rsidR="0020574F" w:rsidRDefault="0020574F" w:rsidP="00D945F9">
      <w:pPr>
        <w:numPr>
          <w:ilvl w:val="1"/>
          <w:numId w:val="18"/>
        </w:numPr>
        <w:tabs>
          <w:tab w:val="clear" w:pos="1495"/>
          <w:tab w:val="num" w:pos="851"/>
          <w:tab w:val="num" w:pos="1134"/>
        </w:tabs>
        <w:ind w:hanging="589"/>
        <w:rPr>
          <w:rFonts w:ascii="Arial" w:hAnsi="Arial" w:cs="Arial"/>
          <w:sz w:val="22"/>
        </w:rPr>
      </w:pPr>
      <w:r>
        <w:rPr>
          <w:rFonts w:ascii="Arial" w:hAnsi="Arial" w:cs="Arial"/>
          <w:sz w:val="22"/>
        </w:rPr>
        <w:t>depreciated historical cost;</w:t>
      </w:r>
    </w:p>
    <w:p w:rsidR="0020574F" w:rsidRDefault="0020574F" w:rsidP="0020574F">
      <w:pPr>
        <w:ind w:left="1080"/>
        <w:rPr>
          <w:rFonts w:ascii="Arial" w:hAnsi="Arial" w:cs="Arial"/>
          <w:sz w:val="22"/>
        </w:rPr>
      </w:pPr>
    </w:p>
    <w:p w:rsidR="0020574F" w:rsidRDefault="0020574F" w:rsidP="0020574F">
      <w:pPr>
        <w:numPr>
          <w:ilvl w:val="0"/>
          <w:numId w:val="18"/>
        </w:numPr>
        <w:tabs>
          <w:tab w:val="clear" w:pos="1080"/>
          <w:tab w:val="num" w:pos="851"/>
        </w:tabs>
        <w:ind w:hanging="654"/>
        <w:rPr>
          <w:rFonts w:ascii="Arial" w:hAnsi="Arial" w:cs="Arial"/>
          <w:sz w:val="22"/>
        </w:rPr>
      </w:pPr>
      <w:r>
        <w:rPr>
          <w:rFonts w:ascii="Arial" w:hAnsi="Arial" w:cs="Arial"/>
          <w:sz w:val="22"/>
        </w:rPr>
        <w:t xml:space="preserve">dwellings </w:t>
      </w:r>
    </w:p>
    <w:p w:rsidR="0020574F" w:rsidRDefault="0020574F" w:rsidP="00D945F9">
      <w:pPr>
        <w:numPr>
          <w:ilvl w:val="1"/>
          <w:numId w:val="18"/>
        </w:numPr>
        <w:tabs>
          <w:tab w:val="clear" w:pos="1495"/>
          <w:tab w:val="num" w:pos="1134"/>
        </w:tabs>
        <w:ind w:hanging="589"/>
        <w:rPr>
          <w:rFonts w:ascii="Arial" w:hAnsi="Arial" w:cs="Arial"/>
          <w:sz w:val="22"/>
        </w:rPr>
      </w:pPr>
      <w:r>
        <w:rPr>
          <w:rFonts w:ascii="Arial" w:hAnsi="Arial" w:cs="Arial"/>
          <w:sz w:val="22"/>
        </w:rPr>
        <w:t xml:space="preserve">fair value, determined using the basis of existing use value for social housing; </w:t>
      </w:r>
    </w:p>
    <w:p w:rsidR="0020574F" w:rsidRDefault="0020574F" w:rsidP="0020574F">
      <w:pPr>
        <w:rPr>
          <w:rFonts w:ascii="Arial" w:hAnsi="Arial" w:cs="Arial"/>
          <w:sz w:val="22"/>
        </w:rPr>
      </w:pPr>
    </w:p>
    <w:p w:rsidR="0020574F" w:rsidRDefault="0020574F" w:rsidP="0020574F">
      <w:pPr>
        <w:numPr>
          <w:ilvl w:val="0"/>
          <w:numId w:val="18"/>
        </w:numPr>
        <w:tabs>
          <w:tab w:val="clear" w:pos="1080"/>
          <w:tab w:val="num" w:pos="851"/>
        </w:tabs>
        <w:ind w:hanging="654"/>
        <w:rPr>
          <w:rFonts w:ascii="Arial" w:hAnsi="Arial" w:cs="Arial"/>
          <w:sz w:val="22"/>
        </w:rPr>
      </w:pPr>
      <w:r>
        <w:rPr>
          <w:rFonts w:ascii="Arial" w:hAnsi="Arial" w:cs="Arial"/>
          <w:sz w:val="22"/>
        </w:rPr>
        <w:t xml:space="preserve">non-property assets that have short useful lives and/or low values </w:t>
      </w:r>
    </w:p>
    <w:p w:rsidR="0020574F" w:rsidRDefault="0020574F" w:rsidP="0020574F">
      <w:pPr>
        <w:ind w:left="1080" w:hanging="229"/>
        <w:rPr>
          <w:rFonts w:ascii="Arial" w:hAnsi="Arial" w:cs="Arial"/>
          <w:sz w:val="22"/>
        </w:rPr>
      </w:pPr>
      <w:r>
        <w:rPr>
          <w:rFonts w:ascii="Arial" w:hAnsi="Arial" w:cs="Arial"/>
          <w:sz w:val="22"/>
        </w:rPr>
        <w:t xml:space="preserve">-    </w:t>
      </w:r>
      <w:proofErr w:type="gramStart"/>
      <w:r>
        <w:rPr>
          <w:rFonts w:ascii="Arial" w:hAnsi="Arial" w:cs="Arial"/>
          <w:sz w:val="22"/>
        </w:rPr>
        <w:t>depreciated</w:t>
      </w:r>
      <w:proofErr w:type="gramEnd"/>
      <w:r>
        <w:rPr>
          <w:rFonts w:ascii="Arial" w:hAnsi="Arial" w:cs="Arial"/>
          <w:sz w:val="22"/>
        </w:rPr>
        <w:t xml:space="preserve"> historical cost basis is used as a proxy for fair value; and</w:t>
      </w:r>
    </w:p>
    <w:p w:rsidR="0020574F" w:rsidRDefault="0020574F" w:rsidP="0020574F">
      <w:pPr>
        <w:ind w:left="720"/>
        <w:rPr>
          <w:rFonts w:ascii="Arial" w:hAnsi="Arial" w:cs="Arial"/>
          <w:sz w:val="22"/>
        </w:rPr>
      </w:pPr>
    </w:p>
    <w:p w:rsidR="0020574F" w:rsidRDefault="0020574F" w:rsidP="0020574F">
      <w:pPr>
        <w:numPr>
          <w:ilvl w:val="0"/>
          <w:numId w:val="18"/>
        </w:numPr>
        <w:tabs>
          <w:tab w:val="clear" w:pos="1080"/>
          <w:tab w:val="num" w:pos="851"/>
        </w:tabs>
        <w:ind w:hanging="654"/>
        <w:rPr>
          <w:rFonts w:ascii="Arial" w:hAnsi="Arial" w:cs="Arial"/>
          <w:sz w:val="22"/>
        </w:rPr>
      </w:pPr>
      <w:r>
        <w:rPr>
          <w:rFonts w:ascii="Arial" w:hAnsi="Arial" w:cs="Arial"/>
          <w:sz w:val="22"/>
        </w:rPr>
        <w:t>all other assets</w:t>
      </w:r>
    </w:p>
    <w:p w:rsidR="0020574F" w:rsidRDefault="0020574F" w:rsidP="00D945F9">
      <w:pPr>
        <w:numPr>
          <w:ilvl w:val="1"/>
          <w:numId w:val="18"/>
        </w:numPr>
        <w:tabs>
          <w:tab w:val="clear" w:pos="1495"/>
          <w:tab w:val="num" w:pos="1134"/>
        </w:tabs>
        <w:ind w:left="1134" w:hanging="228"/>
        <w:rPr>
          <w:rFonts w:ascii="Arial" w:hAnsi="Arial" w:cs="Arial"/>
          <w:sz w:val="22"/>
        </w:rPr>
      </w:pPr>
      <w:r>
        <w:rPr>
          <w:rFonts w:ascii="Arial" w:hAnsi="Arial" w:cs="Arial"/>
          <w:sz w:val="22"/>
        </w:rPr>
        <w:t xml:space="preserve">fair value, determined as the amount that would be paid for the asset in its existing use </w:t>
      </w:r>
    </w:p>
    <w:p w:rsidR="0020574F" w:rsidRDefault="0020574F" w:rsidP="0020574F">
      <w:pPr>
        <w:rPr>
          <w:rFonts w:ascii="Arial" w:hAnsi="Arial" w:cs="Arial"/>
          <w:sz w:val="22"/>
        </w:rPr>
      </w:pPr>
    </w:p>
    <w:p w:rsidR="0020574F" w:rsidRDefault="0020574F" w:rsidP="0020574F">
      <w:pPr>
        <w:ind w:left="360"/>
        <w:rPr>
          <w:rFonts w:ascii="Arial" w:hAnsi="Arial" w:cs="Arial"/>
          <w:sz w:val="22"/>
        </w:rPr>
      </w:pPr>
      <w:r>
        <w:rPr>
          <w:rFonts w:ascii="Arial" w:hAnsi="Arial" w:cs="Arial"/>
          <w:sz w:val="22"/>
        </w:rPr>
        <w:t xml:space="preserve">Assets included in the balance sheet at fair value are revalued sufficiently regularly (at least every five years) to ensure that their carrying amount is not materially different from their fair value at the year-end. </w:t>
      </w:r>
    </w:p>
    <w:p w:rsidR="0020574F" w:rsidRDefault="0020574F" w:rsidP="0020574F">
      <w:pPr>
        <w:ind w:left="720"/>
        <w:rPr>
          <w:rFonts w:ascii="Arial" w:hAnsi="Arial" w:cs="Arial"/>
          <w:sz w:val="22"/>
        </w:rPr>
      </w:pPr>
    </w:p>
    <w:p w:rsidR="0020574F" w:rsidRDefault="0020574F" w:rsidP="0020574F">
      <w:pPr>
        <w:ind w:left="360"/>
        <w:rPr>
          <w:rFonts w:ascii="Arial" w:hAnsi="Arial" w:cs="Arial"/>
          <w:sz w:val="22"/>
        </w:rPr>
      </w:pPr>
      <w:r>
        <w:rPr>
          <w:rFonts w:ascii="Arial" w:hAnsi="Arial" w:cs="Arial"/>
          <w:sz w:val="22"/>
        </w:rPr>
        <w:t>Increases in valuations are matched by credits to the revaluation reserve to recognise unrealised gains. Exceptionally, gains might be credited to the comprehensive income and expenditure statement where they arise from the reversal of a loss previously charged to a service.</w:t>
      </w:r>
    </w:p>
    <w:p w:rsidR="0020574F" w:rsidRDefault="0020574F" w:rsidP="0020574F">
      <w:pPr>
        <w:ind w:left="720"/>
        <w:rPr>
          <w:rFonts w:ascii="Arial" w:hAnsi="Arial" w:cs="Arial"/>
          <w:sz w:val="22"/>
        </w:rPr>
      </w:pPr>
    </w:p>
    <w:p w:rsidR="0020574F" w:rsidRDefault="0020574F" w:rsidP="0020574F">
      <w:pPr>
        <w:ind w:left="360"/>
        <w:rPr>
          <w:rFonts w:ascii="Arial" w:hAnsi="Arial" w:cs="Arial"/>
          <w:sz w:val="22"/>
        </w:rPr>
      </w:pPr>
      <w:r>
        <w:rPr>
          <w:rFonts w:ascii="Arial" w:hAnsi="Arial" w:cs="Arial"/>
          <w:sz w:val="22"/>
        </w:rPr>
        <w:t>Decreases in valuations are accounted for by writing down the balance (if any) of revaluation gains in the revaluation reserve for that asset and then charging any remaining decrease in value to the relevant service in the comprehensive income and expenditure statement.</w:t>
      </w: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r>
        <w:rPr>
          <w:rFonts w:ascii="Arial" w:hAnsi="Arial" w:cs="Arial"/>
          <w:sz w:val="22"/>
        </w:rPr>
        <w:t>The revaluation reserve only contains revalu</w:t>
      </w:r>
      <w:r w:rsidR="008869ED">
        <w:rPr>
          <w:rFonts w:ascii="Arial" w:hAnsi="Arial" w:cs="Arial"/>
          <w:sz w:val="22"/>
        </w:rPr>
        <w:t>ation gains recognised since 1</w:t>
      </w:r>
      <w:r>
        <w:rPr>
          <w:rFonts w:ascii="Arial" w:hAnsi="Arial" w:cs="Arial"/>
          <w:sz w:val="22"/>
        </w:rPr>
        <w:t xml:space="preserve"> April 2007, the date of its formal implementation. Gains arising before that date have been consolidated into the capital adjustment account.</w:t>
      </w:r>
    </w:p>
    <w:p w:rsidR="0020574F" w:rsidRDefault="0020574F" w:rsidP="0020574F">
      <w:pPr>
        <w:ind w:left="360"/>
        <w:rPr>
          <w:rFonts w:ascii="Arial" w:hAnsi="Arial" w:cs="Arial"/>
          <w:color w:val="000080"/>
          <w:sz w:val="22"/>
        </w:rPr>
      </w:pPr>
    </w:p>
    <w:p w:rsidR="0020574F" w:rsidRDefault="0020574F" w:rsidP="0020574F">
      <w:pPr>
        <w:ind w:left="360"/>
        <w:rPr>
          <w:rFonts w:ascii="Arial" w:hAnsi="Arial" w:cs="Arial"/>
          <w:color w:val="000080"/>
          <w:sz w:val="22"/>
        </w:rPr>
      </w:pPr>
      <w:r>
        <w:rPr>
          <w:rFonts w:ascii="Arial" w:hAnsi="Arial" w:cs="Arial"/>
          <w:color w:val="000080"/>
          <w:sz w:val="22"/>
        </w:rPr>
        <w:t xml:space="preserve">Impairment </w:t>
      </w:r>
    </w:p>
    <w:p w:rsidR="0020574F" w:rsidRDefault="0020574F" w:rsidP="0020574F">
      <w:pPr>
        <w:ind w:left="360"/>
        <w:rPr>
          <w:rFonts w:ascii="Arial" w:hAnsi="Arial" w:cs="Arial"/>
          <w:color w:val="000080"/>
          <w:sz w:val="22"/>
        </w:rPr>
      </w:pPr>
    </w:p>
    <w:p w:rsidR="0020574F" w:rsidRDefault="0020574F" w:rsidP="0020574F">
      <w:pPr>
        <w:ind w:left="360"/>
        <w:rPr>
          <w:rFonts w:ascii="Arial" w:hAnsi="Arial" w:cs="Arial"/>
          <w:sz w:val="22"/>
        </w:rPr>
      </w:pPr>
      <w:r>
        <w:rPr>
          <w:rFonts w:ascii="Arial" w:hAnsi="Arial" w:cs="Arial"/>
          <w:sz w:val="22"/>
        </w:rPr>
        <w:t xml:space="preserve">Assets are assessed at the end of each year as to whether there is any indication that an asset may be impaired. Where indications exist and any possible differences are estimated to be material, the recoverable amount of the asset is estimated and, where </w:t>
      </w:r>
      <w:r>
        <w:rPr>
          <w:rFonts w:ascii="Arial" w:hAnsi="Arial" w:cs="Arial"/>
          <w:sz w:val="22"/>
        </w:rPr>
        <w:lastRenderedPageBreak/>
        <w:t>this is less than the carrying amount of the asset, an impairment loss is recognised for the shortfall.</w:t>
      </w: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r>
        <w:rPr>
          <w:rFonts w:ascii="Arial" w:hAnsi="Arial" w:cs="Arial"/>
          <w:sz w:val="22"/>
        </w:rPr>
        <w:t>Impairment losses are accounted for by writing down the balance (if any) of revaluation gains in the revaluation reserve for that asset and then charging any remaining impairment to the relevant service in the comprehensive income and expenditure statement.</w:t>
      </w:r>
    </w:p>
    <w:p w:rsidR="0020574F" w:rsidRDefault="0020574F" w:rsidP="0020574F">
      <w:pPr>
        <w:ind w:left="360"/>
        <w:rPr>
          <w:rFonts w:ascii="Arial" w:hAnsi="Arial" w:cs="Arial"/>
          <w:sz w:val="22"/>
        </w:rPr>
      </w:pPr>
    </w:p>
    <w:p w:rsidR="002C5133" w:rsidRPr="00AE0DA1" w:rsidRDefault="0020574F" w:rsidP="00AE0DA1">
      <w:pPr>
        <w:ind w:left="426"/>
        <w:rPr>
          <w:rFonts w:ascii="Arial" w:hAnsi="Arial" w:cs="Arial"/>
          <w:sz w:val="22"/>
        </w:rPr>
      </w:pPr>
      <w:r>
        <w:rPr>
          <w:rFonts w:ascii="Arial" w:hAnsi="Arial" w:cs="Arial"/>
          <w:sz w:val="22"/>
        </w:rPr>
        <w:t>Where an impairment loss is reversed subsequently, the reversal is credited to the relevant service in the comprehensive income and expenditure statement, up to the amount of the original loss, adjusted for depreciation that would have been charge</w:t>
      </w:r>
      <w:r w:rsidR="008869ED">
        <w:rPr>
          <w:rFonts w:ascii="Arial" w:hAnsi="Arial" w:cs="Arial"/>
          <w:sz w:val="22"/>
        </w:rPr>
        <w:t>d</w:t>
      </w:r>
      <w:r>
        <w:rPr>
          <w:rFonts w:ascii="Arial" w:hAnsi="Arial" w:cs="Arial"/>
          <w:sz w:val="22"/>
        </w:rPr>
        <w:t xml:space="preserve"> if the loss had not been recognised.</w:t>
      </w:r>
    </w:p>
    <w:p w:rsidR="00AB6E90" w:rsidRDefault="00AB6E90" w:rsidP="0020574F">
      <w:pPr>
        <w:ind w:left="426"/>
        <w:rPr>
          <w:rFonts w:ascii="Arial" w:hAnsi="Arial" w:cs="Arial"/>
          <w:color w:val="000080"/>
          <w:sz w:val="22"/>
        </w:rPr>
      </w:pPr>
    </w:p>
    <w:p w:rsidR="0020574F" w:rsidRDefault="0020574F" w:rsidP="0020574F">
      <w:pPr>
        <w:ind w:left="426"/>
        <w:rPr>
          <w:rFonts w:ascii="Arial" w:hAnsi="Arial" w:cs="Arial"/>
          <w:color w:val="000080"/>
          <w:sz w:val="22"/>
        </w:rPr>
      </w:pPr>
      <w:r>
        <w:rPr>
          <w:rFonts w:ascii="Arial" w:hAnsi="Arial" w:cs="Arial"/>
          <w:color w:val="000080"/>
          <w:sz w:val="22"/>
        </w:rPr>
        <w:t>Depreciation</w:t>
      </w:r>
    </w:p>
    <w:p w:rsidR="0020574F" w:rsidRDefault="0020574F" w:rsidP="0020574F">
      <w:pPr>
        <w:rPr>
          <w:rFonts w:ascii="Arial" w:hAnsi="Arial" w:cs="Arial"/>
          <w:color w:val="000080"/>
          <w:sz w:val="22"/>
        </w:rPr>
      </w:pPr>
    </w:p>
    <w:p w:rsidR="0020574F" w:rsidRDefault="0020574F" w:rsidP="0020574F">
      <w:pPr>
        <w:pStyle w:val="BodyTextIndent2"/>
        <w:ind w:left="426"/>
        <w:jc w:val="left"/>
        <w:rPr>
          <w:rFonts w:ascii="Arial" w:hAnsi="Arial" w:cs="Arial"/>
          <w:bCs/>
          <w:sz w:val="22"/>
        </w:rPr>
      </w:pPr>
      <w:r>
        <w:rPr>
          <w:rFonts w:ascii="Arial" w:hAnsi="Arial" w:cs="Arial"/>
          <w:bCs/>
          <w:sz w:val="22"/>
        </w:rPr>
        <w:t>Depreciation is provided on all property, plant and equipment calculated on a straight-line allocation over their useful lives. An exception is made for assets without a determinable finite useful life, i.e. freehold land and certain community assets, if any, and assets that are not yet available for use, i.e. assets under construction, if any.</w:t>
      </w:r>
    </w:p>
    <w:p w:rsidR="0020574F" w:rsidRDefault="0020574F" w:rsidP="0020574F">
      <w:pPr>
        <w:ind w:left="284"/>
        <w:rPr>
          <w:rFonts w:ascii="Arial" w:hAnsi="Arial" w:cs="Arial"/>
          <w:color w:val="000080"/>
          <w:sz w:val="22"/>
        </w:rPr>
      </w:pPr>
    </w:p>
    <w:p w:rsidR="0020574F" w:rsidRDefault="0020574F" w:rsidP="0020574F">
      <w:pPr>
        <w:pStyle w:val="BodyTextIndent2"/>
        <w:ind w:left="426"/>
        <w:jc w:val="left"/>
        <w:rPr>
          <w:rFonts w:ascii="Arial" w:hAnsi="Arial" w:cs="Arial"/>
          <w:bCs/>
          <w:sz w:val="22"/>
        </w:rPr>
      </w:pPr>
      <w:r>
        <w:rPr>
          <w:rFonts w:ascii="Arial" w:hAnsi="Arial" w:cs="Arial"/>
          <w:bCs/>
          <w:sz w:val="22"/>
        </w:rPr>
        <w:t xml:space="preserve">Where property, plant and equipment assets have major components whose cost is significant in relation to the total cost of the asset, depreciation on the components has been calculated and is not materially different from depreciation on the depreciable part of the whole asset. Components have not, therefore, been depreciated separately. </w:t>
      </w:r>
    </w:p>
    <w:p w:rsidR="0020574F" w:rsidRDefault="0020574F" w:rsidP="0020574F">
      <w:pPr>
        <w:ind w:left="426"/>
        <w:rPr>
          <w:rFonts w:ascii="Arial" w:hAnsi="Arial" w:cs="Arial"/>
          <w:b/>
          <w:bCs/>
          <w:color w:val="000080"/>
          <w:sz w:val="22"/>
        </w:rPr>
      </w:pPr>
    </w:p>
    <w:p w:rsidR="0020574F" w:rsidRDefault="0020574F" w:rsidP="0020574F">
      <w:pPr>
        <w:pStyle w:val="BodyTextIndent2"/>
        <w:ind w:left="426"/>
        <w:jc w:val="left"/>
        <w:rPr>
          <w:rFonts w:ascii="Arial" w:hAnsi="Arial" w:cs="Arial"/>
          <w:bCs/>
          <w:sz w:val="22"/>
        </w:rPr>
      </w:pPr>
      <w:r>
        <w:rPr>
          <w:rFonts w:ascii="Arial" w:hAnsi="Arial" w:cs="Arial"/>
          <w:bCs/>
          <w:sz w:val="22"/>
        </w:rPr>
        <w:t xml:space="preserve">Revaluation gains are also depreciated by an amount equal to the difference between the current value depreciation charges on the assets and the historic cost depreciation charges on the assets, with this difference being transferred each year from the revaluation reserve to the capital adjustment account. </w:t>
      </w:r>
    </w:p>
    <w:p w:rsidR="0020574F" w:rsidRDefault="0020574F" w:rsidP="0020574F">
      <w:pPr>
        <w:ind w:left="360"/>
        <w:rPr>
          <w:rFonts w:ascii="Arial" w:hAnsi="Arial" w:cs="Arial"/>
          <w:color w:val="000080"/>
          <w:sz w:val="22"/>
        </w:rPr>
      </w:pPr>
    </w:p>
    <w:p w:rsidR="0020574F" w:rsidRDefault="0020574F" w:rsidP="0020574F">
      <w:pPr>
        <w:ind w:left="426"/>
        <w:rPr>
          <w:rFonts w:ascii="Arial" w:hAnsi="Arial" w:cs="Arial"/>
          <w:color w:val="000080"/>
          <w:sz w:val="22"/>
        </w:rPr>
      </w:pPr>
      <w:r>
        <w:rPr>
          <w:rFonts w:ascii="Arial" w:hAnsi="Arial" w:cs="Arial"/>
          <w:color w:val="000080"/>
          <w:sz w:val="22"/>
        </w:rPr>
        <w:t>Disposals and non-current assets held for sale</w:t>
      </w:r>
    </w:p>
    <w:p w:rsidR="0020574F" w:rsidRDefault="0020574F" w:rsidP="0020574F">
      <w:pPr>
        <w:ind w:left="360"/>
        <w:rPr>
          <w:rFonts w:ascii="Arial" w:hAnsi="Arial" w:cs="Arial"/>
          <w:color w:val="000080"/>
          <w:sz w:val="22"/>
        </w:rPr>
      </w:pPr>
    </w:p>
    <w:p w:rsidR="0020574F" w:rsidRDefault="0020574F" w:rsidP="0020574F">
      <w:pPr>
        <w:ind w:left="426"/>
        <w:rPr>
          <w:rFonts w:ascii="Arial" w:hAnsi="Arial" w:cs="Arial"/>
          <w:sz w:val="22"/>
        </w:rPr>
      </w:pPr>
      <w:r>
        <w:rPr>
          <w:rFonts w:ascii="Arial" w:hAnsi="Arial" w:cs="Arial"/>
          <w:sz w:val="22"/>
        </w:rPr>
        <w:t>An asset is reclassified as an asset held for sale when it becomes probable that the carrying amount of the asset will be recovered principally through a sale transaction. The asset is re</w:t>
      </w:r>
      <w:r w:rsidR="002C5133">
        <w:rPr>
          <w:rFonts w:ascii="Arial" w:hAnsi="Arial" w:cs="Arial"/>
          <w:sz w:val="22"/>
        </w:rPr>
        <w:t>-</w:t>
      </w:r>
      <w:r>
        <w:rPr>
          <w:rFonts w:ascii="Arial" w:hAnsi="Arial" w:cs="Arial"/>
          <w:sz w:val="22"/>
        </w:rPr>
        <w:t>valued immediately before reclassification and then carried at the lower of this amount and fair value less costs to sell. Any subsequent decrease to fair value less costs to sell is posted to the other operating expenditure section in the comprehensive income and expenditure account but any gains in fair value are only recognised up to the amount of any previously recognised losses. Depreciation is not charged on assets held for sale.</w:t>
      </w:r>
    </w:p>
    <w:p w:rsidR="0020574F" w:rsidRDefault="0020574F" w:rsidP="0020574F">
      <w:pPr>
        <w:ind w:left="426"/>
        <w:rPr>
          <w:rFonts w:ascii="Arial" w:hAnsi="Arial" w:cs="Arial"/>
          <w:sz w:val="22"/>
        </w:rPr>
      </w:pPr>
    </w:p>
    <w:p w:rsidR="00AB6E90" w:rsidRDefault="0020574F" w:rsidP="00A1143B">
      <w:pPr>
        <w:ind w:left="426"/>
        <w:rPr>
          <w:rFonts w:ascii="Arial" w:hAnsi="Arial" w:cs="Arial"/>
          <w:sz w:val="22"/>
        </w:rPr>
      </w:pPr>
      <w:r>
        <w:rPr>
          <w:rFonts w:ascii="Arial" w:hAnsi="Arial" w:cs="Arial"/>
          <w:sz w:val="22"/>
        </w:rPr>
        <w:t xml:space="preserve">Assets no longer meeting the criteria to be classified as assets held for sale are reclassified back to non-current assets and valued at the lower of </w:t>
      </w:r>
    </w:p>
    <w:p w:rsidR="00AB6E90" w:rsidRDefault="00AB6E90" w:rsidP="00A1143B">
      <w:pPr>
        <w:ind w:left="426"/>
        <w:rPr>
          <w:rFonts w:ascii="Arial" w:hAnsi="Arial" w:cs="Arial"/>
          <w:sz w:val="22"/>
        </w:rPr>
      </w:pPr>
    </w:p>
    <w:p w:rsidR="0020574F" w:rsidRDefault="0020574F" w:rsidP="00AB6E90">
      <w:pPr>
        <w:ind w:left="709"/>
        <w:rPr>
          <w:rFonts w:ascii="Arial" w:hAnsi="Arial" w:cs="Arial"/>
          <w:sz w:val="22"/>
        </w:rPr>
      </w:pPr>
      <w:r>
        <w:rPr>
          <w:rFonts w:ascii="Arial" w:hAnsi="Arial" w:cs="Arial"/>
          <w:sz w:val="22"/>
        </w:rPr>
        <w:t xml:space="preserve">their carrying amount before they were classified as held for sale adjusted for depreciation, amortisation or revaluations that would have been recognised had they not been classified as held for sale; and </w:t>
      </w:r>
    </w:p>
    <w:p w:rsidR="0020574F" w:rsidRDefault="0020574F" w:rsidP="0020574F">
      <w:pPr>
        <w:ind w:left="720"/>
        <w:rPr>
          <w:rFonts w:ascii="Arial" w:hAnsi="Arial" w:cs="Arial"/>
          <w:sz w:val="22"/>
        </w:rPr>
      </w:pPr>
    </w:p>
    <w:p w:rsidR="0020574F" w:rsidRDefault="0020574F" w:rsidP="0020574F">
      <w:pPr>
        <w:ind w:left="720"/>
        <w:rPr>
          <w:rFonts w:ascii="Arial" w:hAnsi="Arial" w:cs="Arial"/>
          <w:sz w:val="22"/>
        </w:rPr>
      </w:pPr>
      <w:proofErr w:type="gramStart"/>
      <w:r>
        <w:rPr>
          <w:rFonts w:ascii="Arial" w:hAnsi="Arial" w:cs="Arial"/>
          <w:sz w:val="22"/>
        </w:rPr>
        <w:t>their</w:t>
      </w:r>
      <w:proofErr w:type="gramEnd"/>
      <w:r>
        <w:rPr>
          <w:rFonts w:ascii="Arial" w:hAnsi="Arial" w:cs="Arial"/>
          <w:sz w:val="22"/>
        </w:rPr>
        <w:t xml:space="preserve"> recoverable amount at the date of the decision not to sell.</w:t>
      </w:r>
    </w:p>
    <w:p w:rsidR="0020574F" w:rsidRDefault="0020574F" w:rsidP="0020574F">
      <w:pPr>
        <w:ind w:left="426"/>
        <w:rPr>
          <w:rFonts w:ascii="Arial" w:hAnsi="Arial" w:cs="Arial"/>
          <w:sz w:val="22"/>
        </w:rPr>
      </w:pPr>
    </w:p>
    <w:p w:rsidR="0020574F" w:rsidRDefault="0020574F" w:rsidP="00AB6E90">
      <w:pPr>
        <w:ind w:left="426"/>
        <w:rPr>
          <w:rFonts w:ascii="Arial" w:hAnsi="Arial" w:cs="Arial"/>
          <w:sz w:val="22"/>
        </w:rPr>
      </w:pPr>
      <w:r>
        <w:rPr>
          <w:rFonts w:ascii="Arial" w:hAnsi="Arial" w:cs="Arial"/>
          <w:sz w:val="22"/>
        </w:rPr>
        <w:t>Assets that are to be abandoned or scrapped are not reclassified as assets held for sale.</w:t>
      </w:r>
    </w:p>
    <w:p w:rsidR="0020574F" w:rsidRDefault="0020574F" w:rsidP="0020574F">
      <w:pPr>
        <w:ind w:left="426"/>
        <w:rPr>
          <w:rFonts w:ascii="Arial" w:hAnsi="Arial" w:cs="Arial"/>
          <w:sz w:val="22"/>
        </w:rPr>
      </w:pPr>
    </w:p>
    <w:p w:rsidR="0020574F" w:rsidRDefault="0020574F" w:rsidP="0020574F">
      <w:pPr>
        <w:ind w:left="360"/>
        <w:rPr>
          <w:rFonts w:ascii="Arial" w:hAnsi="Arial" w:cs="Arial"/>
          <w:b/>
          <w:bCs/>
          <w:sz w:val="22"/>
        </w:rPr>
      </w:pPr>
      <w:r>
        <w:rPr>
          <w:rFonts w:ascii="Arial" w:hAnsi="Arial" w:cs="Arial"/>
          <w:sz w:val="22"/>
        </w:rPr>
        <w:t xml:space="preserve">When an asset is disposed of, the carrying amount of the asset in the balance sheet is written off and any receipts on disposal are credited to the other operating expenditure </w:t>
      </w:r>
      <w:r>
        <w:rPr>
          <w:rFonts w:ascii="Arial" w:hAnsi="Arial" w:cs="Arial"/>
          <w:sz w:val="22"/>
        </w:rPr>
        <w:lastRenderedPageBreak/>
        <w:t>section in the comprehensive income and expenditure account so that this section shows the net gain or loss on the disposal of non-current assets. The net gain or loss is then is reversed out in the movement in reserves statement with the carrying amount transferred to the capital adjustment account and the receipts on disposal credited to the capital receipts reserve so that the net gain or loss is not met by council tax or rents.</w:t>
      </w:r>
    </w:p>
    <w:p w:rsidR="0020574F" w:rsidRDefault="0020574F" w:rsidP="0020574F">
      <w:pPr>
        <w:rPr>
          <w:rFonts w:ascii="Arial" w:hAnsi="Arial" w:cs="Arial"/>
          <w:color w:val="000080"/>
          <w:sz w:val="22"/>
        </w:rPr>
      </w:pPr>
    </w:p>
    <w:p w:rsidR="0020574F" w:rsidRDefault="0020574F" w:rsidP="0020574F">
      <w:pPr>
        <w:ind w:left="360"/>
        <w:rPr>
          <w:rFonts w:ascii="Arial" w:hAnsi="Arial" w:cs="Arial"/>
          <w:sz w:val="22"/>
        </w:rPr>
      </w:pPr>
      <w:r>
        <w:rPr>
          <w:rFonts w:ascii="Arial" w:hAnsi="Arial" w:cs="Arial"/>
          <w:sz w:val="22"/>
        </w:rPr>
        <w:t>Any revaluation gains in the revaluation reserve in respect of the asset are transferred to the capital adjustment account.</w:t>
      </w:r>
    </w:p>
    <w:p w:rsidR="0020574F" w:rsidRDefault="0020574F" w:rsidP="0020574F">
      <w:pPr>
        <w:ind w:left="360"/>
        <w:rPr>
          <w:rFonts w:ascii="Arial" w:hAnsi="Arial" w:cs="Arial"/>
          <w:sz w:val="22"/>
        </w:rPr>
      </w:pPr>
    </w:p>
    <w:p w:rsidR="0020574F" w:rsidRDefault="0020574F" w:rsidP="0020574F">
      <w:pPr>
        <w:ind w:left="360"/>
        <w:rPr>
          <w:rFonts w:ascii="Arial" w:hAnsi="Arial" w:cs="Arial"/>
          <w:sz w:val="22"/>
        </w:rPr>
      </w:pPr>
      <w:r>
        <w:rPr>
          <w:rFonts w:ascii="Arial" w:hAnsi="Arial" w:cs="Arial"/>
          <w:sz w:val="22"/>
        </w:rPr>
        <w:t xml:space="preserve">Amounts received for a disposal in excess of £10,000 are categorised as capital receipts. </w:t>
      </w:r>
    </w:p>
    <w:p w:rsidR="0020574F" w:rsidRDefault="0020574F" w:rsidP="0020574F">
      <w:pPr>
        <w:ind w:left="360"/>
        <w:rPr>
          <w:rFonts w:ascii="Arial" w:hAnsi="Arial" w:cs="Arial"/>
          <w:sz w:val="22"/>
        </w:rPr>
      </w:pPr>
    </w:p>
    <w:p w:rsidR="0020574F" w:rsidRDefault="0020574F" w:rsidP="0020574F">
      <w:pPr>
        <w:ind w:left="360"/>
        <w:rPr>
          <w:rFonts w:ascii="Arial" w:hAnsi="Arial" w:cs="Arial"/>
          <w:b/>
          <w:bCs/>
          <w:sz w:val="22"/>
        </w:rPr>
      </w:pPr>
      <w:r>
        <w:rPr>
          <w:rFonts w:ascii="Arial" w:hAnsi="Arial" w:cs="Arial"/>
          <w:sz w:val="22"/>
        </w:rPr>
        <w:t xml:space="preserve">A proportion of capital receipts relating to housing disposals (75% for dwellings and 50% for land and other assets, net of statutory deductions and allowances) </w:t>
      </w:r>
      <w:proofErr w:type="gramStart"/>
      <w:r>
        <w:rPr>
          <w:rFonts w:ascii="Arial" w:hAnsi="Arial" w:cs="Arial"/>
          <w:sz w:val="22"/>
        </w:rPr>
        <w:t>is</w:t>
      </w:r>
      <w:proofErr w:type="gramEnd"/>
      <w:r>
        <w:rPr>
          <w:rFonts w:ascii="Arial" w:hAnsi="Arial" w:cs="Arial"/>
          <w:sz w:val="22"/>
        </w:rPr>
        <w:t xml:space="preserve"> payable to the Government and shown in the other operating expenditure section in the comprehensive income and expenditure. This is then is reversed out in the movement in reserves statement to the capital receipts reserve so that the net gain or loss is not met by council tax or rents.</w:t>
      </w:r>
    </w:p>
    <w:p w:rsidR="00A1143B" w:rsidRDefault="00A1143B" w:rsidP="0020574F">
      <w:pPr>
        <w:rPr>
          <w:rFonts w:ascii="Arial" w:hAnsi="Arial" w:cs="Arial"/>
          <w:b/>
          <w:bCs/>
          <w:color w:val="000080"/>
          <w:sz w:val="22"/>
        </w:rPr>
      </w:pPr>
    </w:p>
    <w:p w:rsidR="0020574F" w:rsidRDefault="0020574F" w:rsidP="0020574F">
      <w:pPr>
        <w:rPr>
          <w:rFonts w:ascii="Arial" w:hAnsi="Arial" w:cs="Arial"/>
          <w:b/>
          <w:bCs/>
          <w:color w:val="000080"/>
          <w:sz w:val="22"/>
        </w:rPr>
      </w:pPr>
    </w:p>
    <w:p w:rsidR="0020574F" w:rsidRDefault="0020574F" w:rsidP="0020574F">
      <w:pPr>
        <w:tabs>
          <w:tab w:val="num" w:pos="426"/>
        </w:tabs>
        <w:rPr>
          <w:rFonts w:ascii="Arial" w:hAnsi="Arial" w:cs="Arial"/>
          <w:b/>
          <w:bCs/>
          <w:color w:val="000080"/>
          <w:sz w:val="22"/>
        </w:rPr>
      </w:pPr>
      <w:r>
        <w:rPr>
          <w:rFonts w:ascii="Arial" w:hAnsi="Arial" w:cs="Arial"/>
          <w:b/>
          <w:bCs/>
          <w:color w:val="000080"/>
          <w:sz w:val="22"/>
        </w:rPr>
        <w:t>p.</w:t>
      </w:r>
      <w:r>
        <w:rPr>
          <w:rFonts w:ascii="Arial" w:hAnsi="Arial" w:cs="Arial"/>
          <w:b/>
          <w:bCs/>
          <w:color w:val="000080"/>
          <w:sz w:val="22"/>
        </w:rPr>
        <w:tab/>
        <w:t>Provisions, Contingent Liabilities and Contingent Assets</w:t>
      </w:r>
    </w:p>
    <w:p w:rsidR="0020574F" w:rsidRDefault="0020574F" w:rsidP="0020574F">
      <w:pPr>
        <w:rPr>
          <w:rFonts w:ascii="Arial" w:hAnsi="Arial" w:cs="Arial"/>
          <w:b/>
          <w:bCs/>
          <w:color w:val="000080"/>
          <w:sz w:val="22"/>
        </w:rPr>
      </w:pPr>
    </w:p>
    <w:p w:rsidR="0020574F" w:rsidRDefault="0020574F" w:rsidP="0020574F">
      <w:pPr>
        <w:ind w:left="426"/>
        <w:rPr>
          <w:rFonts w:ascii="Arial" w:hAnsi="Arial" w:cs="Arial"/>
          <w:color w:val="000080"/>
          <w:sz w:val="22"/>
        </w:rPr>
      </w:pPr>
      <w:r>
        <w:rPr>
          <w:rFonts w:ascii="Arial" w:hAnsi="Arial" w:cs="Arial"/>
          <w:color w:val="000080"/>
          <w:sz w:val="22"/>
        </w:rPr>
        <w:t>Provisions</w:t>
      </w:r>
    </w:p>
    <w:p w:rsidR="0020574F" w:rsidRDefault="0020574F" w:rsidP="0020574F">
      <w:pPr>
        <w:ind w:left="360"/>
        <w:rPr>
          <w:rFonts w:ascii="Arial" w:hAnsi="Arial" w:cs="Arial"/>
          <w:color w:val="000080"/>
          <w:sz w:val="22"/>
        </w:rPr>
      </w:pPr>
    </w:p>
    <w:p w:rsidR="0020574F" w:rsidRDefault="0020574F" w:rsidP="0020574F">
      <w:pPr>
        <w:pStyle w:val="BodyTextIndent2"/>
        <w:ind w:left="426"/>
        <w:jc w:val="left"/>
        <w:rPr>
          <w:rFonts w:ascii="Arial" w:hAnsi="Arial" w:cs="Arial"/>
          <w:bCs/>
          <w:sz w:val="22"/>
        </w:rPr>
      </w:pPr>
      <w:r>
        <w:rPr>
          <w:rFonts w:ascii="Arial" w:hAnsi="Arial" w:cs="Arial"/>
          <w:bCs/>
          <w:sz w:val="22"/>
        </w:rPr>
        <w:t xml:space="preserve">Provisions are made where an event has taken place that gives the Authority a legal or constructive obligation in the future that probably requires settlement by transfer of economic benefits or service potential, and a reliable estimate can be made of the amount of the obligation. Provisions are charged as an expense to the appropriate service in the comprehensive income and expenditure statement in the year that the Authority becomes aware of the obligation and are measured at the best estimate at the balance sheet date of the expenditure required to settle the obligation, taking into account the relevant risks and uncertainties. Any payments eventually made are charged against the provision, provisions are reviewed at the end of each financial year and any reduction in the need for the provision is credited back to the relevant service. </w:t>
      </w:r>
    </w:p>
    <w:p w:rsidR="0020574F" w:rsidRDefault="0020574F" w:rsidP="0020574F">
      <w:pPr>
        <w:rPr>
          <w:rFonts w:ascii="Arial" w:hAnsi="Arial" w:cs="Arial"/>
          <w:b/>
          <w:bCs/>
          <w:color w:val="000080"/>
          <w:sz w:val="22"/>
        </w:rPr>
      </w:pPr>
    </w:p>
    <w:p w:rsidR="0020574F" w:rsidRDefault="0020574F" w:rsidP="0020574F">
      <w:pPr>
        <w:ind w:left="426"/>
        <w:rPr>
          <w:rFonts w:ascii="Arial" w:hAnsi="Arial" w:cs="Arial"/>
          <w:color w:val="000080"/>
          <w:sz w:val="22"/>
        </w:rPr>
      </w:pPr>
      <w:r>
        <w:rPr>
          <w:rFonts w:ascii="Arial" w:hAnsi="Arial" w:cs="Arial"/>
          <w:color w:val="000080"/>
          <w:sz w:val="22"/>
        </w:rPr>
        <w:t xml:space="preserve">Contingent Liabilities </w:t>
      </w:r>
    </w:p>
    <w:p w:rsidR="0020574F" w:rsidRDefault="0020574F" w:rsidP="0020574F">
      <w:pPr>
        <w:ind w:left="360"/>
        <w:rPr>
          <w:rFonts w:ascii="Arial" w:hAnsi="Arial" w:cs="Arial"/>
          <w:color w:val="000080"/>
          <w:sz w:val="22"/>
        </w:rPr>
      </w:pPr>
    </w:p>
    <w:p w:rsidR="0020574F" w:rsidRDefault="0020574F" w:rsidP="0020574F">
      <w:pPr>
        <w:pStyle w:val="BodyTextIndent2"/>
        <w:ind w:left="426"/>
        <w:jc w:val="left"/>
        <w:rPr>
          <w:rFonts w:ascii="Arial" w:hAnsi="Arial" w:cs="Arial"/>
          <w:bCs/>
          <w:sz w:val="22"/>
        </w:rPr>
      </w:pPr>
      <w:r>
        <w:rPr>
          <w:rFonts w:ascii="Arial" w:hAnsi="Arial" w:cs="Arial"/>
          <w:bCs/>
          <w:sz w:val="22"/>
        </w:rPr>
        <w:t xml:space="preserve">Contingent liabilities arise where events have taken </w:t>
      </w:r>
      <w:proofErr w:type="gramStart"/>
      <w:r>
        <w:rPr>
          <w:rFonts w:ascii="Arial" w:hAnsi="Arial" w:cs="Arial"/>
          <w:bCs/>
          <w:sz w:val="22"/>
        </w:rPr>
        <w:t>place that give</w:t>
      </w:r>
      <w:proofErr w:type="gramEnd"/>
      <w:r>
        <w:rPr>
          <w:rFonts w:ascii="Arial" w:hAnsi="Arial" w:cs="Arial"/>
          <w:bCs/>
          <w:sz w:val="22"/>
        </w:rPr>
        <w:t xml:space="preserve"> the Authority possible obligations whose existence will only be confirmed by the occurrence or otherwise of uncertain future events not wholly within the control of the Authority. Contingent liabilities also arise where a provision would otherwise be made but either it is not probable that a settlement will be required or the amount of the obligation cannot be measured reliably. Contingent liabilities are not recognised in the balance sheet but disclosed in a note to the accounts. </w:t>
      </w:r>
    </w:p>
    <w:p w:rsidR="0020574F" w:rsidRDefault="0020574F" w:rsidP="0020574F">
      <w:pPr>
        <w:ind w:left="426"/>
        <w:rPr>
          <w:rFonts w:ascii="Arial" w:hAnsi="Arial" w:cs="Arial"/>
          <w:b/>
          <w:bCs/>
          <w:color w:val="000080"/>
          <w:sz w:val="22"/>
        </w:rPr>
      </w:pPr>
    </w:p>
    <w:p w:rsidR="0020574F" w:rsidRDefault="0020574F" w:rsidP="0020574F">
      <w:pPr>
        <w:ind w:left="360"/>
        <w:rPr>
          <w:rFonts w:ascii="Arial" w:hAnsi="Arial" w:cs="Arial"/>
          <w:color w:val="000080"/>
          <w:sz w:val="22"/>
        </w:rPr>
      </w:pPr>
      <w:r>
        <w:rPr>
          <w:rFonts w:ascii="Arial" w:hAnsi="Arial" w:cs="Arial"/>
          <w:color w:val="000080"/>
          <w:sz w:val="22"/>
        </w:rPr>
        <w:t>Contingent assets</w:t>
      </w:r>
    </w:p>
    <w:p w:rsidR="0020574F" w:rsidRDefault="0020574F" w:rsidP="0020574F">
      <w:pPr>
        <w:rPr>
          <w:rFonts w:ascii="Arial" w:hAnsi="Arial" w:cs="Arial"/>
          <w:b/>
          <w:bCs/>
          <w:color w:val="000080"/>
          <w:sz w:val="22"/>
        </w:rPr>
      </w:pPr>
      <w:r>
        <w:rPr>
          <w:rFonts w:ascii="Arial" w:hAnsi="Arial" w:cs="Arial"/>
          <w:b/>
          <w:bCs/>
          <w:color w:val="000080"/>
          <w:sz w:val="22"/>
        </w:rPr>
        <w:tab/>
      </w:r>
    </w:p>
    <w:p w:rsidR="0020574F" w:rsidRDefault="0020574F" w:rsidP="0020574F">
      <w:pPr>
        <w:pStyle w:val="BodyTextIndent2"/>
        <w:ind w:left="426"/>
        <w:jc w:val="left"/>
        <w:rPr>
          <w:rFonts w:ascii="Arial" w:hAnsi="Arial" w:cs="Arial"/>
          <w:bCs/>
          <w:sz w:val="22"/>
        </w:rPr>
      </w:pPr>
      <w:r>
        <w:rPr>
          <w:rFonts w:ascii="Arial" w:hAnsi="Arial" w:cs="Arial"/>
          <w:bCs/>
          <w:sz w:val="22"/>
        </w:rPr>
        <w:t xml:space="preserve">Contingent assets arise where events have taken </w:t>
      </w:r>
      <w:proofErr w:type="gramStart"/>
      <w:r>
        <w:rPr>
          <w:rFonts w:ascii="Arial" w:hAnsi="Arial" w:cs="Arial"/>
          <w:bCs/>
          <w:sz w:val="22"/>
        </w:rPr>
        <w:t>place that give</w:t>
      </w:r>
      <w:proofErr w:type="gramEnd"/>
      <w:r>
        <w:rPr>
          <w:rFonts w:ascii="Arial" w:hAnsi="Arial" w:cs="Arial"/>
          <w:bCs/>
          <w:sz w:val="22"/>
        </w:rPr>
        <w:t xml:space="preserve"> the Authority possible assets whose existence will only be confirmed by the occurrence or otherwise of uncertain future events not wholly within the control of the Authority. Contingent assets are not recognised in the balance sheet but disclosed in a note to the accounts where it is probable that there will be an inflow of economic benefits or service potential.</w:t>
      </w:r>
    </w:p>
    <w:p w:rsidR="0020574F" w:rsidRDefault="0020574F" w:rsidP="0020574F">
      <w:pPr>
        <w:rPr>
          <w:rFonts w:ascii="Arial" w:hAnsi="Arial" w:cs="Arial"/>
          <w:b/>
          <w:bCs/>
          <w:color w:val="000080"/>
          <w:sz w:val="22"/>
        </w:rPr>
      </w:pPr>
    </w:p>
    <w:p w:rsidR="00577EE2" w:rsidRDefault="00577EE2" w:rsidP="0020574F">
      <w:pPr>
        <w:rPr>
          <w:rFonts w:ascii="Arial" w:hAnsi="Arial" w:cs="Arial"/>
          <w:b/>
          <w:bCs/>
          <w:color w:val="000080"/>
          <w:sz w:val="22"/>
        </w:rPr>
      </w:pPr>
    </w:p>
    <w:p w:rsidR="0020574F" w:rsidRDefault="0020574F" w:rsidP="0020574F">
      <w:pPr>
        <w:rPr>
          <w:rFonts w:ascii="Arial" w:hAnsi="Arial" w:cs="Arial"/>
          <w:b/>
          <w:bCs/>
          <w:color w:val="000080"/>
          <w:sz w:val="22"/>
        </w:rPr>
      </w:pPr>
    </w:p>
    <w:p w:rsidR="0020574F" w:rsidRDefault="0020574F" w:rsidP="0020574F">
      <w:pPr>
        <w:pStyle w:val="xl50"/>
        <w:tabs>
          <w:tab w:val="left" w:pos="426"/>
        </w:tabs>
        <w:spacing w:before="0" w:beforeAutospacing="0" w:after="0" w:afterAutospacing="0"/>
        <w:rPr>
          <w:rFonts w:eastAsia="Times New Roman"/>
          <w:bCs w:val="0"/>
          <w:sz w:val="22"/>
        </w:rPr>
      </w:pPr>
      <w:r>
        <w:rPr>
          <w:rFonts w:eastAsia="Times New Roman"/>
          <w:bCs w:val="0"/>
          <w:sz w:val="22"/>
        </w:rPr>
        <w:lastRenderedPageBreak/>
        <w:t xml:space="preserve">q. </w:t>
      </w:r>
      <w:r>
        <w:rPr>
          <w:rFonts w:eastAsia="Times New Roman"/>
          <w:bCs w:val="0"/>
          <w:sz w:val="22"/>
        </w:rPr>
        <w:tab/>
        <w:t xml:space="preserve">Reserves and Developers’ Contributions </w:t>
      </w:r>
    </w:p>
    <w:p w:rsidR="0020574F" w:rsidRDefault="0020574F" w:rsidP="0020574F">
      <w:pPr>
        <w:rPr>
          <w:rFonts w:ascii="Arial" w:hAnsi="Arial" w:cs="Arial"/>
          <w:b/>
          <w:bCs/>
          <w:color w:val="000080"/>
          <w:sz w:val="22"/>
        </w:rPr>
      </w:pPr>
    </w:p>
    <w:p w:rsidR="0020574F" w:rsidRDefault="0020574F" w:rsidP="0020574F">
      <w:pPr>
        <w:pStyle w:val="BodyTextIndent3"/>
        <w:ind w:left="426"/>
        <w:jc w:val="left"/>
        <w:rPr>
          <w:rFonts w:ascii="Arial" w:hAnsi="Arial" w:cs="Arial"/>
          <w:sz w:val="22"/>
        </w:rPr>
      </w:pPr>
      <w:r>
        <w:rPr>
          <w:rFonts w:ascii="Arial" w:hAnsi="Arial" w:cs="Arial"/>
          <w:sz w:val="22"/>
        </w:rPr>
        <w:t>The Authority sets aside certain amounts as reserves for expenditure in future years by appropriating amounts out of the general fund balance in the movement in reserves statement. When expenditure to be financed from a reserve is incurred, it is charged to the relevant service in the comprehensive income and expenditure account and an equivalent amount is appropriated back to the general fund balance in the movement in reserves statement so that the expenditure is not a charge against the council tax.</w:t>
      </w:r>
    </w:p>
    <w:p w:rsidR="0020574F" w:rsidRDefault="0020574F" w:rsidP="0020574F">
      <w:pPr>
        <w:pStyle w:val="BodyTextIndent3"/>
        <w:ind w:left="426"/>
        <w:jc w:val="left"/>
        <w:rPr>
          <w:rFonts w:ascii="Arial" w:hAnsi="Arial" w:cs="Arial"/>
          <w:sz w:val="22"/>
        </w:rPr>
      </w:pPr>
    </w:p>
    <w:p w:rsidR="0020574F" w:rsidRDefault="0020574F" w:rsidP="0020574F">
      <w:pPr>
        <w:pStyle w:val="BodyTextIndent3"/>
        <w:ind w:left="426"/>
        <w:jc w:val="left"/>
        <w:rPr>
          <w:rFonts w:ascii="Arial" w:hAnsi="Arial" w:cs="Arial"/>
          <w:sz w:val="22"/>
        </w:rPr>
      </w:pPr>
      <w:r>
        <w:rPr>
          <w:rFonts w:ascii="Arial" w:hAnsi="Arial" w:cs="Arial"/>
          <w:sz w:val="22"/>
        </w:rPr>
        <w:t>Some reserves, as set out in the unusable reserves note to the accounts, are kept for accounting purposes and do not represent usable resources for the Authority.</w:t>
      </w:r>
    </w:p>
    <w:p w:rsidR="0020574F" w:rsidRDefault="0020574F" w:rsidP="0020574F">
      <w:pPr>
        <w:pStyle w:val="BodyTextIndent3"/>
        <w:ind w:left="426"/>
        <w:jc w:val="left"/>
        <w:rPr>
          <w:rFonts w:ascii="Arial" w:hAnsi="Arial" w:cs="Arial"/>
          <w:sz w:val="22"/>
        </w:rPr>
      </w:pPr>
    </w:p>
    <w:p w:rsidR="0020574F" w:rsidRDefault="0020574F" w:rsidP="0020574F">
      <w:pPr>
        <w:pStyle w:val="BodyTextIndent3"/>
        <w:ind w:left="426"/>
        <w:jc w:val="left"/>
        <w:rPr>
          <w:rFonts w:ascii="Arial" w:hAnsi="Arial" w:cs="Arial"/>
          <w:sz w:val="22"/>
        </w:rPr>
      </w:pPr>
      <w:r>
        <w:rPr>
          <w:rFonts w:ascii="Arial" w:hAnsi="Arial" w:cs="Arial"/>
          <w:sz w:val="22"/>
        </w:rPr>
        <w:t>Developers’ contributions are monies received from developers under Section 106 of the Town and Country Planning Act 1990 for future expenditure on affordable housing, drainage, community costs and development, etc. Any unused balances of these contributions are shown as receipts in advance under creditors.</w:t>
      </w:r>
    </w:p>
    <w:p w:rsidR="004D6673" w:rsidRDefault="004D6673" w:rsidP="0020574F">
      <w:pPr>
        <w:rPr>
          <w:rFonts w:ascii="Arial" w:hAnsi="Arial" w:cs="Arial"/>
          <w:b/>
          <w:bCs/>
          <w:color w:val="000080"/>
          <w:sz w:val="22"/>
        </w:rPr>
      </w:pPr>
    </w:p>
    <w:p w:rsidR="00B95630" w:rsidRDefault="00B95630" w:rsidP="0020574F">
      <w:pPr>
        <w:rPr>
          <w:rFonts w:ascii="Arial" w:hAnsi="Arial" w:cs="Arial"/>
          <w:b/>
          <w:bCs/>
          <w:color w:val="000080"/>
          <w:sz w:val="22"/>
        </w:rPr>
      </w:pPr>
    </w:p>
    <w:p w:rsidR="0020574F" w:rsidRDefault="0020574F" w:rsidP="0020574F">
      <w:pPr>
        <w:tabs>
          <w:tab w:val="left" w:pos="426"/>
        </w:tabs>
        <w:rPr>
          <w:rFonts w:ascii="Arial" w:hAnsi="Arial" w:cs="Arial"/>
          <w:b/>
          <w:bCs/>
          <w:color w:val="000080"/>
          <w:sz w:val="22"/>
        </w:rPr>
      </w:pPr>
      <w:r>
        <w:rPr>
          <w:rFonts w:ascii="Arial" w:hAnsi="Arial" w:cs="Arial"/>
          <w:b/>
          <w:bCs/>
          <w:color w:val="000080"/>
          <w:sz w:val="22"/>
        </w:rPr>
        <w:t>r.</w:t>
      </w:r>
      <w:r>
        <w:rPr>
          <w:rFonts w:ascii="Arial" w:hAnsi="Arial" w:cs="Arial"/>
          <w:b/>
          <w:bCs/>
          <w:color w:val="000080"/>
          <w:sz w:val="22"/>
        </w:rPr>
        <w:tab/>
        <w:t>Revenue Expenditure Funded from Capital under Statute</w:t>
      </w:r>
    </w:p>
    <w:p w:rsidR="0020574F" w:rsidRDefault="0020574F" w:rsidP="0020574F">
      <w:pPr>
        <w:rPr>
          <w:rFonts w:ascii="Arial" w:hAnsi="Arial" w:cs="Arial"/>
          <w:b/>
          <w:bCs/>
          <w:color w:val="000080"/>
          <w:sz w:val="22"/>
        </w:rPr>
      </w:pPr>
    </w:p>
    <w:p w:rsidR="0020574F" w:rsidRDefault="0020574F" w:rsidP="0020574F">
      <w:pPr>
        <w:pStyle w:val="BodyTextIndent2"/>
        <w:ind w:left="426"/>
        <w:jc w:val="left"/>
        <w:rPr>
          <w:rFonts w:ascii="Arial" w:hAnsi="Arial" w:cs="Arial"/>
          <w:bCs/>
          <w:sz w:val="22"/>
        </w:rPr>
      </w:pPr>
      <w:r>
        <w:rPr>
          <w:rFonts w:ascii="Arial" w:hAnsi="Arial" w:cs="Arial"/>
          <w:bCs/>
          <w:sz w:val="22"/>
        </w:rPr>
        <w:t xml:space="preserve">Expenditure which is incurred during the year and which may be capitalised under statutory provisions but does not result in the creation of a non-current asset has been charged as expenditure to the relevant service in the comprehensive income and expenditure statement. Such expenditure which is met from capital resources or from borrowing is then transferred out in </w:t>
      </w:r>
      <w:r w:rsidR="00CB60E0">
        <w:rPr>
          <w:rFonts w:ascii="Arial" w:hAnsi="Arial" w:cs="Arial"/>
          <w:bCs/>
          <w:sz w:val="22"/>
        </w:rPr>
        <w:t xml:space="preserve">the </w:t>
      </w:r>
      <w:r>
        <w:rPr>
          <w:rFonts w:ascii="Arial" w:hAnsi="Arial" w:cs="Arial"/>
          <w:bCs/>
          <w:sz w:val="22"/>
        </w:rPr>
        <w:t xml:space="preserve">movement in reserves statement </w:t>
      </w:r>
      <w:r w:rsidR="00AB6E90" w:rsidRPr="00AB6E90">
        <w:rPr>
          <w:rFonts w:ascii="Arial" w:hAnsi="Arial" w:cs="Arial"/>
          <w:bCs/>
          <w:color w:val="000000" w:themeColor="text1"/>
          <w:sz w:val="22"/>
          <w:szCs w:val="22"/>
        </w:rPr>
        <w:t xml:space="preserve">from the General Fund balance to the Capital adjustment account then reverses out the charge </w:t>
      </w:r>
      <w:r>
        <w:rPr>
          <w:rFonts w:ascii="Arial" w:hAnsi="Arial" w:cs="Arial"/>
          <w:bCs/>
          <w:sz w:val="22"/>
        </w:rPr>
        <w:t>so that there is no impact on the council tax.</w:t>
      </w:r>
    </w:p>
    <w:p w:rsidR="004B767D" w:rsidRDefault="004B767D" w:rsidP="00AB6E90">
      <w:pPr>
        <w:rPr>
          <w:rFonts w:ascii="Arial" w:hAnsi="Arial" w:cs="Arial"/>
          <w:color w:val="000080"/>
          <w:sz w:val="22"/>
        </w:rPr>
      </w:pPr>
    </w:p>
    <w:p w:rsidR="00AB6E90" w:rsidRDefault="00AB6E90" w:rsidP="00AB6E90">
      <w:pPr>
        <w:rPr>
          <w:rFonts w:ascii="Arial" w:hAnsi="Arial" w:cs="Arial"/>
          <w:b/>
          <w:bCs/>
          <w:color w:val="000080"/>
          <w:sz w:val="22"/>
        </w:rPr>
      </w:pPr>
    </w:p>
    <w:p w:rsidR="0020574F" w:rsidRDefault="0020574F" w:rsidP="0020574F">
      <w:pPr>
        <w:tabs>
          <w:tab w:val="left" w:pos="-142"/>
          <w:tab w:val="left" w:pos="426"/>
        </w:tabs>
        <w:rPr>
          <w:rFonts w:ascii="Arial" w:hAnsi="Arial" w:cs="Arial"/>
          <w:b/>
          <w:bCs/>
          <w:color w:val="000080"/>
          <w:sz w:val="22"/>
        </w:rPr>
      </w:pPr>
      <w:r>
        <w:rPr>
          <w:rFonts w:ascii="Arial" w:hAnsi="Arial" w:cs="Arial"/>
          <w:b/>
          <w:bCs/>
          <w:color w:val="000080"/>
          <w:sz w:val="22"/>
        </w:rPr>
        <w:t xml:space="preserve">s. </w:t>
      </w:r>
      <w:r>
        <w:rPr>
          <w:rFonts w:ascii="Arial" w:hAnsi="Arial" w:cs="Arial"/>
          <w:b/>
          <w:bCs/>
          <w:color w:val="000080"/>
          <w:sz w:val="22"/>
        </w:rPr>
        <w:tab/>
        <w:t>VAT</w:t>
      </w:r>
    </w:p>
    <w:p w:rsidR="0020574F" w:rsidRDefault="0020574F" w:rsidP="0020574F">
      <w:pPr>
        <w:rPr>
          <w:rFonts w:ascii="Arial" w:hAnsi="Arial" w:cs="Arial"/>
          <w:b/>
          <w:bCs/>
          <w:color w:val="000080"/>
          <w:sz w:val="22"/>
        </w:rPr>
      </w:pPr>
    </w:p>
    <w:p w:rsidR="00F23FFF" w:rsidRDefault="0020574F" w:rsidP="00342A58">
      <w:pPr>
        <w:ind w:left="426"/>
        <w:rPr>
          <w:rFonts w:ascii="Arial" w:hAnsi="Arial" w:cs="Arial"/>
          <w:bCs/>
          <w:sz w:val="22"/>
        </w:rPr>
      </w:pPr>
      <w:r>
        <w:rPr>
          <w:rFonts w:ascii="Arial" w:hAnsi="Arial" w:cs="Arial"/>
          <w:sz w:val="22"/>
        </w:rPr>
        <w:t>VAT is included as an expense only to the extent that it is not recoverable from HMRC. VAT receivable is excluded from income.</w:t>
      </w:r>
    </w:p>
    <w:p w:rsidR="00F23FFF" w:rsidRDefault="00F23FFF">
      <w:pPr>
        <w:rPr>
          <w:rFonts w:ascii="Arial" w:hAnsi="Arial" w:cs="Arial"/>
          <w:bCs/>
          <w:sz w:val="22"/>
        </w:rPr>
      </w:pPr>
    </w:p>
    <w:p w:rsidR="00B95630" w:rsidRDefault="00B95630">
      <w:pPr>
        <w:rPr>
          <w:rFonts w:ascii="Arial" w:hAnsi="Arial" w:cs="Arial"/>
          <w:bCs/>
          <w:sz w:val="22"/>
        </w:rPr>
      </w:pPr>
    </w:p>
    <w:p w:rsidR="00F23FFF" w:rsidRDefault="003552BC">
      <w:pPr>
        <w:numPr>
          <w:ilvl w:val="2"/>
          <w:numId w:val="14"/>
        </w:numPr>
        <w:tabs>
          <w:tab w:val="clear" w:pos="2520"/>
          <w:tab w:val="num" w:pos="284"/>
        </w:tabs>
        <w:ind w:hanging="2662"/>
        <w:rPr>
          <w:rFonts w:ascii="Arial" w:hAnsi="Arial" w:cs="Arial"/>
          <w:b/>
          <w:color w:val="000080"/>
          <w:sz w:val="24"/>
        </w:rPr>
      </w:pPr>
      <w:r>
        <w:rPr>
          <w:rFonts w:ascii="Arial" w:hAnsi="Arial" w:cs="Arial"/>
          <w:b/>
          <w:color w:val="000080"/>
          <w:sz w:val="24"/>
        </w:rPr>
        <w:t>Accounting Standards that have been issued but not yet adopted</w:t>
      </w:r>
    </w:p>
    <w:p w:rsidR="00F23FFF" w:rsidRDefault="00F23FFF">
      <w:pPr>
        <w:ind w:left="709"/>
        <w:rPr>
          <w:rFonts w:ascii="Arial" w:hAnsi="Arial" w:cs="Arial"/>
          <w:bCs/>
          <w:sz w:val="22"/>
        </w:rPr>
      </w:pPr>
    </w:p>
    <w:p w:rsidR="00F176F1" w:rsidRDefault="00F176F1" w:rsidP="00685FFF">
      <w:pPr>
        <w:autoSpaceDE w:val="0"/>
        <w:autoSpaceDN w:val="0"/>
        <w:adjustRightInd w:val="0"/>
        <w:ind w:left="284"/>
        <w:rPr>
          <w:rFonts w:ascii="Arial" w:hAnsi="Arial" w:cs="Arial"/>
          <w:sz w:val="22"/>
          <w:szCs w:val="22"/>
          <w:lang w:eastAsia="en-GB"/>
        </w:rPr>
      </w:pPr>
      <w:r w:rsidRPr="00B20B96">
        <w:rPr>
          <w:rFonts w:ascii="Arial" w:hAnsi="Arial" w:cs="Arial"/>
          <w:sz w:val="22"/>
          <w:szCs w:val="22"/>
          <w:lang w:eastAsia="en-GB"/>
        </w:rPr>
        <w:t xml:space="preserve">The </w:t>
      </w:r>
      <w:r w:rsidR="00B8200F">
        <w:rPr>
          <w:rFonts w:ascii="Arial" w:hAnsi="Arial" w:cs="Arial"/>
          <w:sz w:val="22"/>
          <w:szCs w:val="22"/>
          <w:lang w:eastAsia="en-GB"/>
        </w:rPr>
        <w:t>following are the accounting policies that have been issued but not yet adopted by the Council at the Balance Sheet date</w:t>
      </w:r>
      <w:r>
        <w:rPr>
          <w:rFonts w:ascii="Arial" w:hAnsi="Arial" w:cs="Arial"/>
          <w:sz w:val="22"/>
          <w:szCs w:val="22"/>
          <w:lang w:eastAsia="en-GB"/>
        </w:rPr>
        <w:t>:</w:t>
      </w:r>
    </w:p>
    <w:p w:rsidR="002E1B48" w:rsidRDefault="002E1B48" w:rsidP="00E027A4">
      <w:pPr>
        <w:autoSpaceDE w:val="0"/>
        <w:autoSpaceDN w:val="0"/>
        <w:adjustRightInd w:val="0"/>
        <w:rPr>
          <w:rFonts w:ascii="Arial" w:hAnsi="Arial" w:cs="Arial"/>
          <w:sz w:val="22"/>
          <w:szCs w:val="22"/>
          <w:lang w:eastAsia="en-GB"/>
        </w:rPr>
      </w:pPr>
    </w:p>
    <w:p w:rsidR="0015594A" w:rsidRDefault="0015594A" w:rsidP="002E1B48">
      <w:pPr>
        <w:autoSpaceDE w:val="0"/>
        <w:autoSpaceDN w:val="0"/>
        <w:adjustRightInd w:val="0"/>
        <w:ind w:left="709" w:firstLine="11"/>
        <w:rPr>
          <w:rFonts w:ascii="Arial" w:hAnsi="Arial" w:cs="Arial"/>
          <w:sz w:val="22"/>
          <w:szCs w:val="22"/>
          <w:lang w:eastAsia="en-GB"/>
        </w:rPr>
      </w:pPr>
      <w:r>
        <w:rPr>
          <w:rFonts w:ascii="Arial" w:hAnsi="Arial" w:cs="Arial"/>
          <w:sz w:val="22"/>
          <w:szCs w:val="22"/>
          <w:lang w:eastAsia="en-GB"/>
        </w:rPr>
        <w:t>IFRS 10 –Consolidate</w:t>
      </w:r>
      <w:r w:rsidR="00E027A4">
        <w:rPr>
          <w:rFonts w:ascii="Arial" w:hAnsi="Arial" w:cs="Arial"/>
          <w:sz w:val="22"/>
          <w:szCs w:val="22"/>
          <w:lang w:eastAsia="en-GB"/>
        </w:rPr>
        <w:t>d</w:t>
      </w:r>
      <w:r>
        <w:rPr>
          <w:rFonts w:ascii="Arial" w:hAnsi="Arial" w:cs="Arial"/>
          <w:sz w:val="22"/>
          <w:szCs w:val="22"/>
          <w:lang w:eastAsia="en-GB"/>
        </w:rPr>
        <w:t xml:space="preserve"> Financial Statements</w:t>
      </w:r>
    </w:p>
    <w:p w:rsidR="0015594A" w:rsidRDefault="0015594A" w:rsidP="002E1B48">
      <w:pPr>
        <w:autoSpaceDE w:val="0"/>
        <w:autoSpaceDN w:val="0"/>
        <w:adjustRightInd w:val="0"/>
        <w:ind w:left="709" w:firstLine="11"/>
        <w:rPr>
          <w:rFonts w:ascii="Arial" w:hAnsi="Arial" w:cs="Arial"/>
          <w:sz w:val="22"/>
          <w:szCs w:val="22"/>
          <w:lang w:eastAsia="en-GB"/>
        </w:rPr>
      </w:pPr>
      <w:r>
        <w:rPr>
          <w:rFonts w:ascii="Arial" w:hAnsi="Arial" w:cs="Arial"/>
          <w:sz w:val="22"/>
          <w:szCs w:val="22"/>
          <w:lang w:eastAsia="en-GB"/>
        </w:rPr>
        <w:t>The standard establishes principles for the presentation and preparation of consolidated financial statements when the Council controls one or more entities.</w:t>
      </w:r>
    </w:p>
    <w:p w:rsidR="0015594A" w:rsidRDefault="0015594A" w:rsidP="002E1B48">
      <w:pPr>
        <w:autoSpaceDE w:val="0"/>
        <w:autoSpaceDN w:val="0"/>
        <w:adjustRightInd w:val="0"/>
        <w:ind w:left="709" w:firstLine="11"/>
        <w:rPr>
          <w:rFonts w:ascii="Arial" w:hAnsi="Arial" w:cs="Arial"/>
          <w:sz w:val="22"/>
          <w:szCs w:val="22"/>
          <w:lang w:eastAsia="en-GB"/>
        </w:rPr>
      </w:pPr>
      <w:r>
        <w:rPr>
          <w:rFonts w:ascii="Arial" w:hAnsi="Arial" w:cs="Arial"/>
          <w:sz w:val="22"/>
          <w:szCs w:val="22"/>
          <w:lang w:eastAsia="en-GB"/>
        </w:rPr>
        <w:t>This standard is not applicable to the Council</w:t>
      </w:r>
      <w:r w:rsidR="00E027A4">
        <w:rPr>
          <w:rFonts w:ascii="Arial" w:hAnsi="Arial" w:cs="Arial"/>
          <w:sz w:val="22"/>
          <w:szCs w:val="22"/>
          <w:lang w:eastAsia="en-GB"/>
        </w:rPr>
        <w:t>, at this time,</w:t>
      </w:r>
      <w:r>
        <w:rPr>
          <w:rFonts w:ascii="Arial" w:hAnsi="Arial" w:cs="Arial"/>
          <w:sz w:val="22"/>
          <w:szCs w:val="22"/>
          <w:lang w:eastAsia="en-GB"/>
        </w:rPr>
        <w:t xml:space="preserve"> as it does not exert control over any other entities, this will be kept under review.</w:t>
      </w:r>
    </w:p>
    <w:p w:rsidR="0015594A" w:rsidRDefault="0015594A" w:rsidP="0015594A">
      <w:pPr>
        <w:pStyle w:val="ListParagraph"/>
        <w:spacing w:line="240" w:lineRule="atLeast"/>
        <w:ind w:left="567"/>
        <w:rPr>
          <w:rFonts w:ascii="Arial" w:hAnsi="Arial" w:cs="Arial"/>
          <w:b/>
          <w:bCs/>
          <w:sz w:val="24"/>
          <w:szCs w:val="24"/>
        </w:rPr>
      </w:pPr>
    </w:p>
    <w:p w:rsidR="0015594A" w:rsidRPr="0015594A" w:rsidRDefault="0015594A" w:rsidP="0015594A">
      <w:pPr>
        <w:pStyle w:val="ListParagraph"/>
        <w:spacing w:line="240" w:lineRule="atLeast"/>
        <w:ind w:left="567"/>
        <w:rPr>
          <w:rFonts w:ascii="Arial" w:hAnsi="Arial" w:cs="Arial"/>
          <w:sz w:val="22"/>
          <w:szCs w:val="22"/>
        </w:rPr>
      </w:pPr>
      <w:r>
        <w:rPr>
          <w:rFonts w:ascii="Arial" w:hAnsi="Arial" w:cs="Arial"/>
          <w:b/>
          <w:bCs/>
          <w:sz w:val="24"/>
          <w:szCs w:val="24"/>
        </w:rPr>
        <w:t xml:space="preserve">  </w:t>
      </w:r>
      <w:r w:rsidRPr="0015594A">
        <w:rPr>
          <w:rFonts w:ascii="Arial" w:hAnsi="Arial" w:cs="Arial"/>
          <w:bCs/>
          <w:sz w:val="22"/>
          <w:szCs w:val="22"/>
        </w:rPr>
        <w:t>IFRS 11 – Joint Arrangements</w:t>
      </w:r>
    </w:p>
    <w:p w:rsidR="0015594A" w:rsidRPr="00667AAE" w:rsidRDefault="0015594A" w:rsidP="00B8200F">
      <w:pPr>
        <w:ind w:left="709"/>
        <w:rPr>
          <w:rFonts w:ascii="Arial" w:hAnsi="Arial" w:cs="Arial"/>
          <w:sz w:val="22"/>
          <w:szCs w:val="22"/>
        </w:rPr>
      </w:pPr>
      <w:r w:rsidRPr="0015594A">
        <w:rPr>
          <w:rFonts w:ascii="Arial" w:hAnsi="Arial" w:cs="Arial"/>
          <w:sz w:val="22"/>
          <w:szCs w:val="22"/>
        </w:rPr>
        <w:t xml:space="preserve">This standard outlines the accounting </w:t>
      </w:r>
      <w:r>
        <w:rPr>
          <w:rFonts w:ascii="Arial" w:hAnsi="Arial" w:cs="Arial"/>
          <w:sz w:val="22"/>
          <w:szCs w:val="22"/>
        </w:rPr>
        <w:t xml:space="preserve">required </w:t>
      </w:r>
      <w:r w:rsidRPr="0015594A">
        <w:rPr>
          <w:rFonts w:ascii="Arial" w:hAnsi="Arial" w:cs="Arial"/>
          <w:sz w:val="22"/>
          <w:szCs w:val="22"/>
        </w:rPr>
        <w:t xml:space="preserve">by the Council in respect of jointly controlling an arrangement. Joint control involves the contractually agreed sharing of control and arrangements subject to joint control that are classified as either a joint venture (representing a share of net assets and equity accounted) or a joint </w:t>
      </w:r>
      <w:r w:rsidRPr="00667AAE">
        <w:rPr>
          <w:rFonts w:ascii="Arial" w:hAnsi="Arial" w:cs="Arial"/>
          <w:sz w:val="22"/>
          <w:szCs w:val="22"/>
        </w:rPr>
        <w:t xml:space="preserve">operation (representing rights to assets and obligations for liabilities, accounts for accordingly). </w:t>
      </w:r>
    </w:p>
    <w:p w:rsidR="0015594A" w:rsidRPr="00667AAE" w:rsidRDefault="0015594A" w:rsidP="0015594A">
      <w:pPr>
        <w:autoSpaceDE w:val="0"/>
        <w:autoSpaceDN w:val="0"/>
        <w:adjustRightInd w:val="0"/>
        <w:ind w:left="709" w:firstLine="11"/>
        <w:rPr>
          <w:rFonts w:ascii="Arial" w:hAnsi="Arial" w:cs="Arial"/>
          <w:sz w:val="22"/>
          <w:szCs w:val="22"/>
        </w:rPr>
      </w:pPr>
      <w:r w:rsidRPr="00667AAE">
        <w:rPr>
          <w:rFonts w:ascii="Arial" w:hAnsi="Arial" w:cs="Arial"/>
          <w:sz w:val="22"/>
          <w:szCs w:val="22"/>
        </w:rPr>
        <w:t xml:space="preserve">The Council is in a joint arrangement with </w:t>
      </w:r>
      <w:r w:rsidR="00B8200F" w:rsidRPr="00667AAE">
        <w:rPr>
          <w:rFonts w:ascii="Arial" w:hAnsi="Arial" w:cs="Arial"/>
          <w:sz w:val="22"/>
          <w:szCs w:val="22"/>
        </w:rPr>
        <w:t>Huntingdonshire</w:t>
      </w:r>
      <w:r w:rsidRPr="00667AAE">
        <w:rPr>
          <w:rFonts w:ascii="Arial" w:hAnsi="Arial" w:cs="Arial"/>
          <w:sz w:val="22"/>
          <w:szCs w:val="22"/>
        </w:rPr>
        <w:t xml:space="preserve"> District Council and Cambridge City Council in respect of the Cambs Home Improvement Agency; </w:t>
      </w:r>
      <w:r w:rsidRPr="00667AAE">
        <w:rPr>
          <w:rFonts w:ascii="Arial" w:hAnsi="Arial" w:cs="Arial"/>
          <w:sz w:val="22"/>
          <w:szCs w:val="22"/>
        </w:rPr>
        <w:lastRenderedPageBreak/>
        <w:t>whose role is to approve Disabled Facilities Grants. The Councils interest is not material</w:t>
      </w:r>
      <w:r w:rsidR="00E027A4" w:rsidRPr="00667AAE">
        <w:rPr>
          <w:rFonts w:ascii="Arial" w:hAnsi="Arial" w:cs="Arial"/>
          <w:sz w:val="22"/>
          <w:szCs w:val="22"/>
        </w:rPr>
        <w:t>.</w:t>
      </w:r>
      <w:r w:rsidRPr="00667AAE">
        <w:rPr>
          <w:rFonts w:ascii="Arial" w:hAnsi="Arial" w:cs="Arial"/>
          <w:sz w:val="22"/>
          <w:szCs w:val="22"/>
        </w:rPr>
        <w:t xml:space="preserve"> </w:t>
      </w:r>
    </w:p>
    <w:p w:rsidR="0015594A" w:rsidRPr="00667AAE" w:rsidRDefault="0015594A" w:rsidP="0015594A">
      <w:pPr>
        <w:autoSpaceDE w:val="0"/>
        <w:autoSpaceDN w:val="0"/>
        <w:adjustRightInd w:val="0"/>
        <w:ind w:left="709" w:firstLine="11"/>
        <w:rPr>
          <w:rFonts w:ascii="Arial" w:hAnsi="Arial" w:cs="Arial"/>
          <w:sz w:val="22"/>
          <w:szCs w:val="22"/>
          <w:lang w:eastAsia="en-GB"/>
        </w:rPr>
      </w:pPr>
    </w:p>
    <w:p w:rsidR="00B8200F" w:rsidRPr="00667AAE" w:rsidRDefault="00B8200F" w:rsidP="00B8200F">
      <w:pPr>
        <w:pStyle w:val="ListParagraph"/>
        <w:spacing w:line="240" w:lineRule="atLeast"/>
        <w:ind w:left="709"/>
        <w:rPr>
          <w:rFonts w:ascii="Arial" w:hAnsi="Arial" w:cs="Arial"/>
          <w:sz w:val="22"/>
          <w:szCs w:val="22"/>
        </w:rPr>
      </w:pPr>
      <w:r w:rsidRPr="00667AAE">
        <w:rPr>
          <w:rFonts w:ascii="Arial" w:hAnsi="Arial" w:cs="Arial"/>
          <w:bCs/>
          <w:sz w:val="22"/>
          <w:szCs w:val="22"/>
        </w:rPr>
        <w:t>IFRS 12 – Disclosure of Interests in Other Entities</w:t>
      </w:r>
    </w:p>
    <w:p w:rsidR="00B8200F" w:rsidRPr="00667AAE" w:rsidRDefault="00E027A4" w:rsidP="00B8200F">
      <w:pPr>
        <w:ind w:left="709"/>
        <w:rPr>
          <w:rFonts w:ascii="Arial" w:hAnsi="Arial" w:cs="Arial"/>
          <w:sz w:val="22"/>
          <w:szCs w:val="22"/>
        </w:rPr>
      </w:pPr>
      <w:r w:rsidRPr="00667AAE">
        <w:rPr>
          <w:rFonts w:ascii="Arial" w:hAnsi="Arial" w:cs="Arial"/>
          <w:sz w:val="22"/>
          <w:szCs w:val="22"/>
        </w:rPr>
        <w:t>A</w:t>
      </w:r>
      <w:r w:rsidR="00B8200F" w:rsidRPr="00667AAE">
        <w:rPr>
          <w:rFonts w:ascii="Arial" w:hAnsi="Arial" w:cs="Arial"/>
          <w:sz w:val="22"/>
          <w:szCs w:val="22"/>
        </w:rPr>
        <w:t xml:space="preserve"> consolidation disclosure standard that requires a wide range of disclosure about an entity’s interests in subsidiaries, joint arrangements, associates and unconsolidated “structure entities”.</w:t>
      </w:r>
    </w:p>
    <w:p w:rsidR="00B8200F" w:rsidRPr="00667AAE" w:rsidRDefault="00B8200F" w:rsidP="00B8200F">
      <w:pPr>
        <w:ind w:left="709"/>
        <w:rPr>
          <w:rFonts w:ascii="Arial" w:hAnsi="Arial" w:cs="Arial"/>
          <w:sz w:val="22"/>
          <w:szCs w:val="22"/>
        </w:rPr>
      </w:pPr>
      <w:r w:rsidRPr="00667AAE">
        <w:rPr>
          <w:rFonts w:ascii="Arial" w:hAnsi="Arial" w:cs="Arial"/>
          <w:sz w:val="22"/>
          <w:szCs w:val="22"/>
        </w:rPr>
        <w:t>The applicability of this standard will be in line with IFRS 11 – Joint Arrangements.</w:t>
      </w:r>
    </w:p>
    <w:p w:rsidR="00B8200F" w:rsidRPr="00667AAE" w:rsidRDefault="00B8200F" w:rsidP="00B8200F">
      <w:pPr>
        <w:ind w:left="709"/>
        <w:rPr>
          <w:rFonts w:ascii="Arial" w:hAnsi="Arial" w:cs="Arial"/>
          <w:sz w:val="22"/>
          <w:szCs w:val="22"/>
        </w:rPr>
      </w:pPr>
    </w:p>
    <w:p w:rsidR="00E027A4" w:rsidRDefault="00E027A4" w:rsidP="00B8200F">
      <w:pPr>
        <w:ind w:left="709"/>
        <w:rPr>
          <w:rFonts w:ascii="Arial" w:hAnsi="Arial" w:cs="Arial"/>
          <w:sz w:val="22"/>
          <w:szCs w:val="22"/>
        </w:rPr>
      </w:pPr>
      <w:r>
        <w:rPr>
          <w:rFonts w:ascii="Arial" w:hAnsi="Arial" w:cs="Arial"/>
          <w:sz w:val="22"/>
          <w:szCs w:val="22"/>
        </w:rPr>
        <w:t>IFRS 13 Fair value measurement</w:t>
      </w:r>
    </w:p>
    <w:p w:rsidR="00E027A4" w:rsidRPr="00B8200F" w:rsidRDefault="00E027A4" w:rsidP="00B8200F">
      <w:pPr>
        <w:ind w:left="709"/>
        <w:rPr>
          <w:rFonts w:ascii="Arial" w:hAnsi="Arial" w:cs="Arial"/>
          <w:sz w:val="22"/>
          <w:szCs w:val="22"/>
        </w:rPr>
      </w:pPr>
    </w:p>
    <w:p w:rsidR="00B8200F" w:rsidRPr="00B8200F" w:rsidRDefault="00B8200F" w:rsidP="00B8200F">
      <w:pPr>
        <w:pStyle w:val="ListParagraph"/>
        <w:spacing w:line="240" w:lineRule="atLeast"/>
        <w:ind w:left="709"/>
        <w:rPr>
          <w:rFonts w:ascii="Arial" w:hAnsi="Arial" w:cs="Arial"/>
          <w:sz w:val="22"/>
          <w:szCs w:val="22"/>
        </w:rPr>
      </w:pPr>
      <w:r w:rsidRPr="00B8200F">
        <w:rPr>
          <w:rFonts w:ascii="Arial" w:hAnsi="Arial" w:cs="Arial"/>
          <w:bCs/>
          <w:sz w:val="22"/>
          <w:szCs w:val="22"/>
        </w:rPr>
        <w:t>IAS 27 – Separate Financial Statements</w:t>
      </w:r>
      <w:r w:rsidRPr="00B8200F">
        <w:rPr>
          <w:rFonts w:ascii="Arial" w:hAnsi="Arial" w:cs="Arial"/>
          <w:sz w:val="22"/>
          <w:szCs w:val="22"/>
        </w:rPr>
        <w:t xml:space="preserve"> </w:t>
      </w:r>
    </w:p>
    <w:p w:rsidR="00B8200F" w:rsidRPr="00B8200F" w:rsidRDefault="00B8200F" w:rsidP="00B8200F">
      <w:pPr>
        <w:pStyle w:val="ListParagraph"/>
        <w:ind w:left="709"/>
        <w:rPr>
          <w:rFonts w:ascii="Arial" w:hAnsi="Arial" w:cs="Arial"/>
          <w:sz w:val="22"/>
          <w:szCs w:val="22"/>
        </w:rPr>
      </w:pPr>
      <w:r w:rsidRPr="00B8200F">
        <w:rPr>
          <w:rFonts w:ascii="Arial" w:hAnsi="Arial" w:cs="Arial"/>
          <w:sz w:val="22"/>
          <w:szCs w:val="22"/>
        </w:rPr>
        <w:t>This standard outlines the accounting and disclosure requirements for</w:t>
      </w:r>
      <w:r w:rsidR="00FE52CC">
        <w:rPr>
          <w:rFonts w:ascii="Arial" w:hAnsi="Arial" w:cs="Arial"/>
          <w:sz w:val="22"/>
          <w:szCs w:val="22"/>
        </w:rPr>
        <w:t xml:space="preserve"> separate financial statements</w:t>
      </w:r>
      <w:r w:rsidRPr="00B8200F">
        <w:rPr>
          <w:rFonts w:ascii="Arial" w:hAnsi="Arial" w:cs="Arial"/>
          <w:sz w:val="22"/>
          <w:szCs w:val="22"/>
        </w:rPr>
        <w:t>, which are financial statements prepared by a parent or an investor in a joint venture or associate, where those investments are accounted for either at cost of in accordance with IAS 39 Financial Instruments: Recognition and Measurement  or IFRS 9 Financial Instruments. The standard also outlines the accounting requirements for dividends and contains numerous disclosure requirements.</w:t>
      </w:r>
    </w:p>
    <w:p w:rsidR="00B8200F" w:rsidRPr="00B8200F" w:rsidRDefault="00B8200F" w:rsidP="00B8200F">
      <w:pPr>
        <w:pStyle w:val="ListParagraph"/>
        <w:ind w:left="709"/>
        <w:rPr>
          <w:rFonts w:ascii="Arial" w:hAnsi="Arial" w:cs="Arial"/>
          <w:sz w:val="22"/>
          <w:szCs w:val="22"/>
        </w:rPr>
      </w:pPr>
      <w:r w:rsidRPr="00B8200F">
        <w:rPr>
          <w:rFonts w:ascii="Arial" w:hAnsi="Arial" w:cs="Arial"/>
          <w:sz w:val="22"/>
          <w:szCs w:val="22"/>
        </w:rPr>
        <w:t>It considered that this standard will have limited applicability to the Council.</w:t>
      </w:r>
    </w:p>
    <w:p w:rsidR="00B8200F" w:rsidRPr="00B8200F" w:rsidRDefault="00B8200F" w:rsidP="00B8200F">
      <w:pPr>
        <w:ind w:left="709"/>
        <w:rPr>
          <w:rFonts w:ascii="Arial" w:hAnsi="Arial" w:cs="Arial"/>
          <w:sz w:val="22"/>
          <w:szCs w:val="22"/>
        </w:rPr>
      </w:pPr>
    </w:p>
    <w:p w:rsidR="00B8200F" w:rsidRPr="00B8200F" w:rsidRDefault="00B8200F" w:rsidP="00B8200F">
      <w:pPr>
        <w:pStyle w:val="ListParagraph"/>
        <w:spacing w:line="240" w:lineRule="atLeast"/>
        <w:ind w:left="709"/>
        <w:rPr>
          <w:rFonts w:ascii="Arial" w:hAnsi="Arial" w:cs="Arial"/>
          <w:bCs/>
          <w:sz w:val="22"/>
          <w:szCs w:val="22"/>
        </w:rPr>
      </w:pPr>
      <w:r w:rsidRPr="00B8200F">
        <w:rPr>
          <w:rFonts w:ascii="Arial" w:hAnsi="Arial" w:cs="Arial"/>
          <w:bCs/>
          <w:sz w:val="22"/>
          <w:szCs w:val="22"/>
        </w:rPr>
        <w:t>IAS 28</w:t>
      </w:r>
      <w:r>
        <w:rPr>
          <w:rFonts w:ascii="Arial" w:hAnsi="Arial" w:cs="Arial"/>
          <w:bCs/>
          <w:sz w:val="22"/>
          <w:szCs w:val="22"/>
        </w:rPr>
        <w:t xml:space="preserve"> </w:t>
      </w:r>
      <w:r w:rsidRPr="00B8200F">
        <w:rPr>
          <w:rFonts w:ascii="Arial" w:hAnsi="Arial" w:cs="Arial"/>
          <w:bCs/>
          <w:sz w:val="22"/>
          <w:szCs w:val="22"/>
        </w:rPr>
        <w:t xml:space="preserve">- Investments in Associates and Joint Ventures </w:t>
      </w:r>
    </w:p>
    <w:p w:rsidR="00B8200F" w:rsidRPr="00B8200F" w:rsidRDefault="00B8200F" w:rsidP="004B767D">
      <w:pPr>
        <w:ind w:left="709"/>
        <w:rPr>
          <w:rFonts w:ascii="Arial" w:hAnsi="Arial" w:cs="Arial"/>
          <w:sz w:val="22"/>
          <w:szCs w:val="22"/>
        </w:rPr>
      </w:pPr>
      <w:r w:rsidRPr="00B8200F">
        <w:rPr>
          <w:rFonts w:ascii="Arial" w:hAnsi="Arial" w:cs="Arial"/>
          <w:sz w:val="22"/>
          <w:szCs w:val="22"/>
          <w:lang w:val="en"/>
        </w:rPr>
        <w:t>This standard outlines how to apply, with certain limited exceptions, the equity method to investments in associates and joint ventures. The standard also defines an associate by reference to the concept of "significant influence", which requires power to participate in financial and operating policy decisions of an investee (but not joint control or control of those polices).</w:t>
      </w:r>
    </w:p>
    <w:p w:rsidR="00B8200F" w:rsidRPr="00B8200F" w:rsidRDefault="00B8200F" w:rsidP="00B8200F">
      <w:pPr>
        <w:pStyle w:val="ListParagraph"/>
        <w:ind w:left="709"/>
        <w:rPr>
          <w:rFonts w:ascii="Arial" w:hAnsi="Arial" w:cs="Arial"/>
          <w:sz w:val="22"/>
          <w:szCs w:val="22"/>
        </w:rPr>
      </w:pPr>
      <w:r w:rsidRPr="00B8200F">
        <w:rPr>
          <w:rFonts w:ascii="Arial" w:hAnsi="Arial" w:cs="Arial"/>
          <w:sz w:val="22"/>
          <w:szCs w:val="22"/>
        </w:rPr>
        <w:t>The applicability of this standard will be in line with IFRS 11 – Joint Arrangements.</w:t>
      </w:r>
    </w:p>
    <w:p w:rsidR="00B8200F" w:rsidRPr="00B8200F" w:rsidRDefault="00B8200F" w:rsidP="00B8200F">
      <w:pPr>
        <w:ind w:left="709"/>
        <w:rPr>
          <w:rFonts w:ascii="Arial" w:hAnsi="Arial" w:cs="Arial"/>
          <w:sz w:val="22"/>
          <w:szCs w:val="22"/>
        </w:rPr>
      </w:pPr>
    </w:p>
    <w:p w:rsidR="00B8200F" w:rsidRPr="004B767D" w:rsidRDefault="00B8200F" w:rsidP="004B767D">
      <w:pPr>
        <w:pStyle w:val="ListParagraph"/>
        <w:spacing w:line="240" w:lineRule="atLeast"/>
        <w:ind w:left="709"/>
        <w:rPr>
          <w:rFonts w:ascii="Arial" w:hAnsi="Arial" w:cs="Arial"/>
          <w:bCs/>
          <w:sz w:val="22"/>
          <w:szCs w:val="22"/>
        </w:rPr>
      </w:pPr>
      <w:r w:rsidRPr="00B8200F">
        <w:rPr>
          <w:rFonts w:ascii="Arial" w:hAnsi="Arial" w:cs="Arial"/>
          <w:bCs/>
          <w:sz w:val="22"/>
          <w:szCs w:val="22"/>
        </w:rPr>
        <w:t xml:space="preserve">IAS 32 Financial Instruments: Presentation </w:t>
      </w:r>
    </w:p>
    <w:p w:rsidR="00B8200F" w:rsidRPr="00B8200F" w:rsidRDefault="00B8200F" w:rsidP="004B767D">
      <w:pPr>
        <w:ind w:left="709"/>
        <w:rPr>
          <w:rFonts w:ascii="Arial" w:hAnsi="Arial" w:cs="Arial"/>
          <w:sz w:val="22"/>
          <w:szCs w:val="22"/>
        </w:rPr>
      </w:pPr>
      <w:r w:rsidRPr="00B8200F">
        <w:rPr>
          <w:rFonts w:ascii="Arial" w:hAnsi="Arial" w:cs="Arial"/>
          <w:sz w:val="22"/>
          <w:szCs w:val="22"/>
          <w:lang w:val="en"/>
        </w:rPr>
        <w:t>This standard outlines the accounting requirements for the presentation of financial instruments, particularly as to the classification of such instruments into financial assets, financial liabilities and equity instruments. The standard also provides guidance on the classification of related interest, dividends and gains/losses, and when financial assets and financial liabilities can be offset.</w:t>
      </w:r>
    </w:p>
    <w:p w:rsidR="00B8200F" w:rsidRPr="00B8200F" w:rsidRDefault="00B8200F" w:rsidP="00B8200F">
      <w:pPr>
        <w:ind w:left="709"/>
        <w:rPr>
          <w:rFonts w:ascii="Arial" w:hAnsi="Arial" w:cs="Arial"/>
          <w:sz w:val="22"/>
          <w:szCs w:val="22"/>
        </w:rPr>
      </w:pPr>
      <w:r w:rsidRPr="00B8200F">
        <w:rPr>
          <w:rFonts w:ascii="Arial" w:hAnsi="Arial" w:cs="Arial"/>
          <w:sz w:val="22"/>
          <w:szCs w:val="22"/>
        </w:rPr>
        <w:t>As a presentational change this will be applicable to the Council.</w:t>
      </w:r>
    </w:p>
    <w:p w:rsidR="00B8200F" w:rsidRPr="00B8200F" w:rsidRDefault="00B8200F" w:rsidP="00B8200F">
      <w:pPr>
        <w:ind w:left="709"/>
        <w:rPr>
          <w:rFonts w:ascii="Arial" w:hAnsi="Arial" w:cs="Arial"/>
          <w:sz w:val="22"/>
          <w:szCs w:val="22"/>
        </w:rPr>
      </w:pPr>
    </w:p>
    <w:p w:rsidR="00B95630" w:rsidRDefault="00B95630" w:rsidP="00AE4F45">
      <w:pPr>
        <w:rPr>
          <w:rFonts w:ascii="Arial" w:hAnsi="Arial" w:cs="Arial"/>
          <w:bCs/>
          <w:sz w:val="22"/>
        </w:rPr>
      </w:pPr>
    </w:p>
    <w:p w:rsidR="00B95630" w:rsidRDefault="00B95630" w:rsidP="00AE4F45">
      <w:pPr>
        <w:rPr>
          <w:rFonts w:ascii="Arial" w:hAnsi="Arial" w:cs="Arial"/>
          <w:bCs/>
          <w:sz w:val="22"/>
        </w:rPr>
      </w:pPr>
    </w:p>
    <w:p w:rsidR="00F23FFF" w:rsidRDefault="00F23FFF">
      <w:pPr>
        <w:rPr>
          <w:rFonts w:ascii="Arial" w:hAnsi="Arial" w:cs="Arial"/>
          <w:bCs/>
          <w:sz w:val="22"/>
        </w:rPr>
      </w:pPr>
    </w:p>
    <w:p w:rsidR="00F23FFF" w:rsidRDefault="003552BC">
      <w:pPr>
        <w:tabs>
          <w:tab w:val="left" w:pos="284"/>
        </w:tabs>
        <w:ind w:left="-142"/>
        <w:rPr>
          <w:rFonts w:ascii="Arial" w:hAnsi="Arial" w:cs="Arial"/>
          <w:b/>
          <w:color w:val="000080"/>
          <w:sz w:val="24"/>
        </w:rPr>
      </w:pPr>
      <w:r>
        <w:rPr>
          <w:rFonts w:ascii="Arial" w:hAnsi="Arial" w:cs="Arial"/>
          <w:b/>
          <w:color w:val="000080"/>
          <w:sz w:val="24"/>
        </w:rPr>
        <w:t>3    Critical judgements in applying accounting policies</w:t>
      </w:r>
    </w:p>
    <w:p w:rsidR="00F23FFF" w:rsidRDefault="00F23FFF">
      <w:pPr>
        <w:rPr>
          <w:rFonts w:ascii="Arial" w:hAnsi="Arial" w:cs="Arial"/>
          <w:b/>
          <w:color w:val="000080"/>
          <w:sz w:val="22"/>
        </w:rPr>
      </w:pPr>
    </w:p>
    <w:p w:rsidR="00F23FFF" w:rsidRPr="00B95630" w:rsidRDefault="003552BC" w:rsidP="00B95630">
      <w:pPr>
        <w:ind w:left="284"/>
        <w:rPr>
          <w:rFonts w:ascii="Arial" w:hAnsi="Arial" w:cs="Arial"/>
          <w:bCs/>
          <w:sz w:val="22"/>
        </w:rPr>
      </w:pPr>
      <w:r>
        <w:rPr>
          <w:rFonts w:ascii="Arial" w:hAnsi="Arial" w:cs="Arial"/>
          <w:bCs/>
          <w:sz w:val="22"/>
        </w:rPr>
        <w:t>In applying the accounting policies set out in note 1, the Council has had to make certain judgements about complex transactions or those involving uncer</w:t>
      </w:r>
      <w:r w:rsidR="009A2E32">
        <w:rPr>
          <w:rFonts w:ascii="Arial" w:hAnsi="Arial" w:cs="Arial"/>
          <w:bCs/>
          <w:sz w:val="22"/>
        </w:rPr>
        <w:t>tainty about future events</w:t>
      </w:r>
      <w:r w:rsidR="00B95630">
        <w:rPr>
          <w:rFonts w:ascii="Arial" w:hAnsi="Arial" w:cs="Arial"/>
          <w:bCs/>
          <w:sz w:val="22"/>
        </w:rPr>
        <w:t xml:space="preserve">, this includes </w:t>
      </w:r>
      <w:r w:rsidR="009A2E32" w:rsidRPr="009A2E32">
        <w:rPr>
          <w:rFonts w:ascii="Arial" w:hAnsi="Arial" w:cs="Arial"/>
          <w:sz w:val="22"/>
          <w:szCs w:val="22"/>
        </w:rPr>
        <w:t xml:space="preserve">a degree of uncertainty about the levels of funding for local government. However, the Authority has determined that this uncertainty is not yet sufficient to provide an indication that the assets of the Authority might be impaired as a result of a need to reduce levels of service provision or </w:t>
      </w:r>
      <w:r w:rsidR="00D022D2">
        <w:rPr>
          <w:rFonts w:ascii="Arial" w:hAnsi="Arial" w:cs="Arial"/>
          <w:sz w:val="22"/>
          <w:szCs w:val="22"/>
        </w:rPr>
        <w:t xml:space="preserve">through </w:t>
      </w:r>
      <w:r w:rsidR="009A2E32" w:rsidRPr="009A2E32">
        <w:rPr>
          <w:rFonts w:ascii="Arial" w:hAnsi="Arial" w:cs="Arial"/>
          <w:sz w:val="22"/>
          <w:szCs w:val="22"/>
        </w:rPr>
        <w:t>change</w:t>
      </w:r>
      <w:r w:rsidR="009A2E32">
        <w:rPr>
          <w:rFonts w:ascii="Arial" w:hAnsi="Arial" w:cs="Arial"/>
          <w:sz w:val="22"/>
          <w:szCs w:val="22"/>
        </w:rPr>
        <w:t>s</w:t>
      </w:r>
      <w:r w:rsidR="009A2E32" w:rsidRPr="009A2E32">
        <w:rPr>
          <w:rFonts w:ascii="Arial" w:hAnsi="Arial" w:cs="Arial"/>
          <w:sz w:val="22"/>
          <w:szCs w:val="22"/>
        </w:rPr>
        <w:t xml:space="preserve"> </w:t>
      </w:r>
      <w:r w:rsidR="009A2E32">
        <w:rPr>
          <w:rFonts w:ascii="Arial" w:hAnsi="Arial" w:cs="Arial"/>
          <w:sz w:val="22"/>
          <w:szCs w:val="22"/>
        </w:rPr>
        <w:t>to arrangements for</w:t>
      </w:r>
      <w:r w:rsidR="009A2E32" w:rsidRPr="009A2E32">
        <w:rPr>
          <w:rFonts w:ascii="Arial" w:hAnsi="Arial" w:cs="Arial"/>
          <w:sz w:val="22"/>
          <w:szCs w:val="22"/>
        </w:rPr>
        <w:t xml:space="preserve"> service provision</w:t>
      </w:r>
      <w:r w:rsidR="009A2E32">
        <w:rPr>
          <w:rFonts w:ascii="Arial" w:hAnsi="Arial" w:cs="Arial"/>
          <w:sz w:val="22"/>
          <w:szCs w:val="22"/>
        </w:rPr>
        <w:t>.</w:t>
      </w:r>
    </w:p>
    <w:p w:rsidR="00F23FFF" w:rsidRPr="009A2E32" w:rsidRDefault="00F23FFF" w:rsidP="009A2E32">
      <w:pPr>
        <w:ind w:left="284"/>
        <w:rPr>
          <w:rFonts w:ascii="Arial" w:hAnsi="Arial" w:cs="Arial"/>
          <w:bCs/>
          <w:sz w:val="22"/>
          <w:szCs w:val="22"/>
        </w:rPr>
      </w:pPr>
    </w:p>
    <w:p w:rsidR="004B767D" w:rsidRDefault="004B767D">
      <w:pPr>
        <w:rPr>
          <w:rFonts w:ascii="Arial" w:hAnsi="Arial" w:cs="Arial"/>
          <w:bCs/>
          <w:sz w:val="22"/>
        </w:rPr>
      </w:pPr>
    </w:p>
    <w:p w:rsidR="00D022D2" w:rsidRDefault="00D022D2">
      <w:pPr>
        <w:rPr>
          <w:rFonts w:ascii="Arial" w:hAnsi="Arial" w:cs="Arial"/>
          <w:bCs/>
          <w:sz w:val="22"/>
        </w:rPr>
      </w:pPr>
    </w:p>
    <w:p w:rsidR="00D022D2" w:rsidRDefault="00D022D2">
      <w:pPr>
        <w:rPr>
          <w:rFonts w:ascii="Arial" w:hAnsi="Arial" w:cs="Arial"/>
          <w:bCs/>
          <w:sz w:val="22"/>
        </w:rPr>
      </w:pPr>
    </w:p>
    <w:p w:rsidR="00D022D2" w:rsidRDefault="00D022D2">
      <w:pPr>
        <w:rPr>
          <w:rFonts w:ascii="Arial" w:hAnsi="Arial" w:cs="Arial"/>
          <w:bCs/>
          <w:sz w:val="22"/>
        </w:rPr>
      </w:pPr>
    </w:p>
    <w:p w:rsidR="00F23FFF" w:rsidRDefault="003552BC">
      <w:pPr>
        <w:ind w:left="284" w:hanging="426"/>
        <w:rPr>
          <w:rFonts w:ascii="Arial" w:hAnsi="Arial" w:cs="Arial"/>
          <w:b/>
          <w:color w:val="000080"/>
          <w:sz w:val="24"/>
        </w:rPr>
      </w:pPr>
      <w:r>
        <w:rPr>
          <w:rFonts w:ascii="Arial" w:hAnsi="Arial" w:cs="Arial"/>
          <w:b/>
          <w:color w:val="000080"/>
          <w:sz w:val="24"/>
        </w:rPr>
        <w:lastRenderedPageBreak/>
        <w:t>4    Assumptions made about the future and other major sources of estimation uncertainty</w:t>
      </w:r>
    </w:p>
    <w:p w:rsidR="00F23FFF" w:rsidRDefault="00F23FFF">
      <w:pPr>
        <w:ind w:left="284" w:hanging="426"/>
        <w:rPr>
          <w:rFonts w:ascii="Arial" w:hAnsi="Arial" w:cs="Arial"/>
          <w:b/>
          <w:color w:val="000080"/>
          <w:sz w:val="22"/>
        </w:rPr>
      </w:pPr>
    </w:p>
    <w:p w:rsidR="00F23FFF" w:rsidRPr="00A1143B" w:rsidRDefault="003552BC">
      <w:pPr>
        <w:pStyle w:val="xl65"/>
        <w:tabs>
          <w:tab w:val="left" w:pos="284"/>
        </w:tabs>
        <w:spacing w:before="0" w:beforeAutospacing="0" w:after="0" w:afterAutospacing="0"/>
        <w:ind w:left="284"/>
        <w:rPr>
          <w:rFonts w:eastAsia="Times New Roman"/>
          <w:bCs/>
          <w:szCs w:val="20"/>
        </w:rPr>
      </w:pPr>
      <w:r w:rsidRPr="00A1143B">
        <w:rPr>
          <w:rFonts w:eastAsia="Times New Roman"/>
          <w:bCs/>
          <w:szCs w:val="20"/>
        </w:rPr>
        <w:t xml:space="preserve">The </w:t>
      </w:r>
      <w:r w:rsidR="004E57FB" w:rsidRPr="00A1143B">
        <w:rPr>
          <w:rFonts w:eastAsia="Times New Roman"/>
          <w:bCs/>
          <w:szCs w:val="20"/>
        </w:rPr>
        <w:t>preparation of financial statements requires management to make judgements, estimates and assumptions that affect the amounts reported for assets and liabilities as at the balance sheet date and the amounts reported for the revenues and expenses during the year. However, the nature of estimation means that actual outcomes could differ from those estimates.</w:t>
      </w:r>
      <w:r w:rsidRPr="00A1143B">
        <w:rPr>
          <w:rFonts w:eastAsia="Times New Roman"/>
          <w:bCs/>
          <w:szCs w:val="20"/>
        </w:rPr>
        <w:t xml:space="preserve"> </w:t>
      </w:r>
    </w:p>
    <w:p w:rsidR="00F23FFF" w:rsidRPr="00A1143B" w:rsidRDefault="00F23FFF">
      <w:pPr>
        <w:pStyle w:val="xl65"/>
        <w:tabs>
          <w:tab w:val="left" w:pos="284"/>
        </w:tabs>
        <w:spacing w:before="0" w:beforeAutospacing="0" w:after="0" w:afterAutospacing="0"/>
        <w:ind w:left="284"/>
        <w:rPr>
          <w:rFonts w:eastAsia="Times New Roman"/>
          <w:bCs/>
          <w:szCs w:val="20"/>
        </w:rPr>
      </w:pPr>
    </w:p>
    <w:p w:rsidR="004E57FB" w:rsidRPr="00A1143B" w:rsidRDefault="004E57FB">
      <w:pPr>
        <w:pStyle w:val="xl65"/>
        <w:tabs>
          <w:tab w:val="left" w:pos="284"/>
        </w:tabs>
        <w:spacing w:before="0" w:beforeAutospacing="0" w:after="0" w:afterAutospacing="0"/>
        <w:ind w:left="284"/>
        <w:rPr>
          <w:rFonts w:eastAsia="Times New Roman"/>
          <w:bCs/>
          <w:szCs w:val="20"/>
        </w:rPr>
      </w:pPr>
      <w:r w:rsidRPr="00A1143B">
        <w:rPr>
          <w:rFonts w:eastAsia="Times New Roman"/>
          <w:bCs/>
          <w:szCs w:val="20"/>
        </w:rPr>
        <w:t>The key judgements and estimation uncertainty that have a significant risk of causing material adjustment to the carrying amounts of assets and liabilities within the next financial year are:</w:t>
      </w:r>
    </w:p>
    <w:p w:rsidR="004E57FB" w:rsidRDefault="004E57FB">
      <w:pPr>
        <w:pStyle w:val="xl65"/>
        <w:tabs>
          <w:tab w:val="left" w:pos="284"/>
        </w:tabs>
        <w:spacing w:before="0" w:beforeAutospacing="0" w:after="0" w:afterAutospacing="0"/>
        <w:ind w:left="284"/>
        <w:rPr>
          <w:rFonts w:eastAsia="Times New Roman"/>
          <w:bCs/>
          <w:szCs w:val="20"/>
        </w:rPr>
      </w:pPr>
    </w:p>
    <w:p w:rsidR="00F23FFF" w:rsidRDefault="003552BC">
      <w:pPr>
        <w:pStyle w:val="xl65"/>
        <w:tabs>
          <w:tab w:val="left" w:pos="284"/>
        </w:tabs>
        <w:spacing w:before="0" w:beforeAutospacing="0" w:after="0" w:afterAutospacing="0"/>
        <w:ind w:left="284"/>
        <w:rPr>
          <w:rFonts w:eastAsia="Times New Roman"/>
          <w:bCs/>
          <w:color w:val="000080"/>
          <w:szCs w:val="20"/>
        </w:rPr>
      </w:pPr>
      <w:r>
        <w:rPr>
          <w:rFonts w:eastAsia="Times New Roman"/>
          <w:bCs/>
          <w:color w:val="000080"/>
          <w:szCs w:val="20"/>
        </w:rPr>
        <w:t>Pensions Liability</w:t>
      </w:r>
    </w:p>
    <w:p w:rsidR="00F23FFF" w:rsidRDefault="00F23FFF">
      <w:pPr>
        <w:pStyle w:val="xl65"/>
        <w:tabs>
          <w:tab w:val="left" w:pos="284"/>
        </w:tabs>
        <w:spacing w:before="0" w:beforeAutospacing="0" w:after="0" w:afterAutospacing="0"/>
        <w:ind w:left="284"/>
        <w:rPr>
          <w:rFonts w:eastAsia="Times New Roman"/>
          <w:bCs/>
          <w:szCs w:val="20"/>
        </w:rPr>
      </w:pPr>
    </w:p>
    <w:p w:rsidR="00F23FFF" w:rsidRDefault="003552BC">
      <w:pPr>
        <w:pStyle w:val="xl65"/>
        <w:tabs>
          <w:tab w:val="left" w:pos="284"/>
        </w:tabs>
        <w:spacing w:before="0" w:beforeAutospacing="0" w:after="0" w:afterAutospacing="0"/>
        <w:ind w:left="284"/>
        <w:rPr>
          <w:rFonts w:eastAsia="Times New Roman"/>
          <w:bCs/>
          <w:szCs w:val="20"/>
        </w:rPr>
      </w:pPr>
      <w:r>
        <w:rPr>
          <w:rFonts w:eastAsia="Times New Roman"/>
          <w:bCs/>
          <w:szCs w:val="20"/>
        </w:rPr>
        <w:t>The main item in the Co</w:t>
      </w:r>
      <w:r w:rsidR="00D55138">
        <w:rPr>
          <w:rFonts w:eastAsia="Times New Roman"/>
          <w:bCs/>
          <w:szCs w:val="20"/>
        </w:rPr>
        <w:t>uncil’s balance sheet as at 31</w:t>
      </w:r>
      <w:r>
        <w:rPr>
          <w:rFonts w:eastAsia="Times New Roman"/>
          <w:bCs/>
          <w:szCs w:val="20"/>
        </w:rPr>
        <w:t xml:space="preserve"> March 201</w:t>
      </w:r>
      <w:r w:rsidR="00F46955">
        <w:rPr>
          <w:rFonts w:eastAsia="Times New Roman"/>
          <w:bCs/>
          <w:szCs w:val="20"/>
        </w:rPr>
        <w:t>4</w:t>
      </w:r>
      <w:r>
        <w:rPr>
          <w:rFonts w:eastAsia="Times New Roman"/>
          <w:bCs/>
          <w:szCs w:val="20"/>
        </w:rPr>
        <w:t xml:space="preserve"> for which there is a significant risk of material adjustment i</w:t>
      </w:r>
      <w:r w:rsidR="005C3396">
        <w:rPr>
          <w:rFonts w:eastAsia="Times New Roman"/>
          <w:bCs/>
          <w:szCs w:val="20"/>
        </w:rPr>
        <w:t>s the estimation of the pension</w:t>
      </w:r>
      <w:r>
        <w:rPr>
          <w:rFonts w:eastAsia="Times New Roman"/>
          <w:bCs/>
          <w:szCs w:val="20"/>
        </w:rPr>
        <w:t xml:space="preserve"> liability by a consulting Actuary engaged by the pension fund administrator, Cambridgeshire County Council.</w:t>
      </w:r>
    </w:p>
    <w:p w:rsidR="00F23FFF" w:rsidRDefault="00F23FFF">
      <w:pPr>
        <w:pStyle w:val="xl65"/>
        <w:tabs>
          <w:tab w:val="left" w:pos="284"/>
        </w:tabs>
        <w:spacing w:before="0" w:beforeAutospacing="0" w:after="0" w:afterAutospacing="0"/>
        <w:ind w:left="284"/>
        <w:rPr>
          <w:rFonts w:eastAsia="Times New Roman"/>
          <w:bCs/>
          <w:szCs w:val="20"/>
        </w:rPr>
      </w:pPr>
    </w:p>
    <w:p w:rsidR="004B767D" w:rsidRDefault="003552BC" w:rsidP="009A2E32">
      <w:pPr>
        <w:pStyle w:val="xl65"/>
        <w:tabs>
          <w:tab w:val="left" w:pos="284"/>
        </w:tabs>
        <w:spacing w:before="0" w:beforeAutospacing="0" w:after="0" w:afterAutospacing="0"/>
        <w:ind w:left="284"/>
        <w:rPr>
          <w:rFonts w:eastAsia="Times New Roman"/>
          <w:bCs/>
          <w:szCs w:val="20"/>
        </w:rPr>
      </w:pPr>
      <w:r>
        <w:rPr>
          <w:rFonts w:eastAsia="Times New Roman"/>
          <w:bCs/>
          <w:szCs w:val="20"/>
        </w:rPr>
        <w:t>The estimation is over several decades where a small change in one of the assumptions can have a large effect on the liability and the Actuary has provided the following sensitivity analysis:</w:t>
      </w:r>
    </w:p>
    <w:p w:rsidR="004B767D" w:rsidRDefault="004B767D">
      <w:pPr>
        <w:pStyle w:val="xl65"/>
        <w:tabs>
          <w:tab w:val="left" w:pos="284"/>
        </w:tabs>
        <w:spacing w:before="0" w:beforeAutospacing="0" w:after="0" w:afterAutospacing="0"/>
        <w:ind w:left="284"/>
        <w:rPr>
          <w:rFonts w:eastAsia="Times New Roman"/>
          <w:bCs/>
          <w:szCs w:val="20"/>
        </w:rPr>
      </w:pPr>
    </w:p>
    <w:p w:rsidR="00F23FFF" w:rsidRDefault="0099422A" w:rsidP="00C803DB">
      <w:pPr>
        <w:pStyle w:val="xl65"/>
        <w:tabs>
          <w:tab w:val="left" w:pos="284"/>
        </w:tabs>
        <w:spacing w:before="0" w:beforeAutospacing="0" w:after="0" w:afterAutospacing="0"/>
        <w:jc w:val="center"/>
        <w:rPr>
          <w:rFonts w:eastAsia="Times New Roman"/>
          <w:bCs/>
          <w:szCs w:val="20"/>
        </w:rPr>
      </w:pPr>
      <w:r w:rsidRPr="0099422A">
        <w:rPr>
          <w:noProof/>
          <w:lang w:eastAsia="en-GB"/>
        </w:rPr>
        <w:drawing>
          <wp:inline distT="0" distB="0" distL="0" distR="0">
            <wp:extent cx="5114925" cy="1819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25" cy="1819275"/>
                    </a:xfrm>
                    <a:prstGeom prst="rect">
                      <a:avLst/>
                    </a:prstGeom>
                    <a:noFill/>
                    <a:ln>
                      <a:noFill/>
                    </a:ln>
                  </pic:spPr>
                </pic:pic>
              </a:graphicData>
            </a:graphic>
          </wp:inline>
        </w:drawing>
      </w:r>
    </w:p>
    <w:p w:rsidR="00AE4F45" w:rsidRDefault="003552BC">
      <w:pPr>
        <w:rPr>
          <w:rFonts w:ascii="Arial" w:hAnsi="Arial" w:cs="Arial"/>
          <w:bCs/>
          <w:color w:val="000080"/>
          <w:sz w:val="22"/>
        </w:rPr>
      </w:pPr>
      <w:r>
        <w:rPr>
          <w:rFonts w:ascii="Arial" w:hAnsi="Arial" w:cs="Arial"/>
          <w:bCs/>
          <w:color w:val="000080"/>
          <w:sz w:val="22"/>
        </w:rPr>
        <w:t xml:space="preserve">   </w:t>
      </w:r>
    </w:p>
    <w:p w:rsidR="00AE4F45" w:rsidRDefault="00AE4F45">
      <w:pPr>
        <w:rPr>
          <w:rFonts w:ascii="Arial" w:hAnsi="Arial" w:cs="Arial"/>
          <w:bCs/>
          <w:color w:val="000080"/>
          <w:sz w:val="22"/>
        </w:rPr>
      </w:pPr>
    </w:p>
    <w:p w:rsidR="00F23FFF" w:rsidRDefault="003552BC">
      <w:pPr>
        <w:rPr>
          <w:rFonts w:ascii="Arial" w:hAnsi="Arial" w:cs="Arial"/>
          <w:bCs/>
          <w:color w:val="000080"/>
          <w:sz w:val="22"/>
        </w:rPr>
      </w:pPr>
      <w:r>
        <w:rPr>
          <w:rFonts w:ascii="Arial" w:hAnsi="Arial" w:cs="Arial"/>
          <w:bCs/>
          <w:color w:val="000080"/>
          <w:sz w:val="22"/>
        </w:rPr>
        <w:t xml:space="preserve"> </w:t>
      </w:r>
      <w:r w:rsidR="00A51E02">
        <w:rPr>
          <w:rFonts w:ascii="Arial" w:hAnsi="Arial" w:cs="Arial"/>
          <w:bCs/>
          <w:color w:val="000080"/>
          <w:sz w:val="22"/>
        </w:rPr>
        <w:t xml:space="preserve">   </w:t>
      </w:r>
      <w:r>
        <w:rPr>
          <w:rFonts w:ascii="Arial" w:hAnsi="Arial" w:cs="Arial"/>
          <w:bCs/>
          <w:color w:val="000080"/>
          <w:sz w:val="22"/>
        </w:rPr>
        <w:t>Property, Plant and Equipment</w:t>
      </w:r>
    </w:p>
    <w:p w:rsidR="00F23FFF" w:rsidRDefault="00F23FFF">
      <w:pPr>
        <w:rPr>
          <w:rFonts w:ascii="Arial" w:hAnsi="Arial" w:cs="Arial"/>
          <w:bCs/>
          <w:sz w:val="22"/>
        </w:rPr>
      </w:pPr>
    </w:p>
    <w:p w:rsidR="00F23FFF" w:rsidRDefault="003552BC" w:rsidP="00D022D2">
      <w:pPr>
        <w:ind w:left="227"/>
        <w:rPr>
          <w:rFonts w:ascii="Arial" w:hAnsi="Arial" w:cs="Arial"/>
          <w:bCs/>
          <w:sz w:val="22"/>
        </w:rPr>
      </w:pPr>
      <w:r>
        <w:rPr>
          <w:rFonts w:ascii="Arial" w:hAnsi="Arial" w:cs="Arial"/>
          <w:bCs/>
          <w:sz w:val="22"/>
        </w:rPr>
        <w:t>Assets are depreciated over useful lives that are dependent on assumptions about the level of repairs and maintenance that will be incurred in relation to individual assets. If the Council did not sustain its current spending on repairs and maintenance the useful lives currently assigned to assets may be reduced.</w:t>
      </w:r>
    </w:p>
    <w:p w:rsidR="00F23FFF" w:rsidRDefault="00F23FFF">
      <w:pPr>
        <w:ind w:left="227"/>
        <w:rPr>
          <w:rFonts w:ascii="Arial" w:hAnsi="Arial" w:cs="Arial"/>
          <w:bCs/>
          <w:sz w:val="22"/>
        </w:rPr>
      </w:pPr>
    </w:p>
    <w:p w:rsidR="00F23FFF" w:rsidRDefault="003552BC">
      <w:pPr>
        <w:ind w:left="227"/>
        <w:rPr>
          <w:rFonts w:ascii="Arial" w:hAnsi="Arial" w:cs="Arial"/>
          <w:bCs/>
          <w:sz w:val="22"/>
        </w:rPr>
      </w:pPr>
      <w:r>
        <w:rPr>
          <w:rFonts w:ascii="Arial" w:hAnsi="Arial" w:cs="Arial"/>
          <w:bCs/>
          <w:sz w:val="22"/>
        </w:rPr>
        <w:t xml:space="preserve">If the useful life of assets is reduced, depreciation increases and the carrying value of the asset will decrease. The largest category of assets is Council dwellings and it is estimated that the annual depreciation charge for these would increase by approximately </w:t>
      </w:r>
      <w:r w:rsidR="001E3487" w:rsidRPr="001E3487">
        <w:rPr>
          <w:rFonts w:ascii="Arial" w:hAnsi="Arial" w:cs="Arial"/>
          <w:bCs/>
          <w:sz w:val="22"/>
        </w:rPr>
        <w:t>£</w:t>
      </w:r>
      <w:r w:rsidR="0068482A">
        <w:rPr>
          <w:rFonts w:ascii="Arial" w:hAnsi="Arial" w:cs="Arial"/>
          <w:bCs/>
          <w:sz w:val="22"/>
        </w:rPr>
        <w:t>450,913</w:t>
      </w:r>
      <w:r w:rsidR="009A2E32">
        <w:rPr>
          <w:rFonts w:ascii="Arial" w:hAnsi="Arial" w:cs="Arial"/>
          <w:bCs/>
          <w:sz w:val="22"/>
        </w:rPr>
        <w:t xml:space="preserve"> </w:t>
      </w:r>
      <w:r w:rsidRPr="001E3487">
        <w:rPr>
          <w:rFonts w:ascii="Arial" w:hAnsi="Arial" w:cs="Arial"/>
          <w:bCs/>
          <w:sz w:val="22"/>
        </w:rPr>
        <w:t>for every year that useful lives had to be reduced.</w:t>
      </w:r>
    </w:p>
    <w:p w:rsidR="00F23FFF" w:rsidRDefault="00F23FFF">
      <w:pPr>
        <w:rPr>
          <w:rFonts w:ascii="Arial" w:hAnsi="Arial" w:cs="Arial"/>
          <w:bCs/>
          <w:color w:val="000080"/>
          <w:sz w:val="22"/>
        </w:rPr>
      </w:pPr>
    </w:p>
    <w:p w:rsidR="00F23FFF" w:rsidRDefault="009A2E32" w:rsidP="009A2E32">
      <w:pPr>
        <w:ind w:left="284"/>
        <w:rPr>
          <w:rFonts w:ascii="Arial" w:hAnsi="Arial" w:cs="Arial"/>
          <w:bCs/>
          <w:color w:val="000080"/>
          <w:sz w:val="22"/>
        </w:rPr>
      </w:pPr>
      <w:r>
        <w:rPr>
          <w:rFonts w:ascii="Arial" w:hAnsi="Arial" w:cs="Arial"/>
          <w:bCs/>
          <w:color w:val="000080"/>
          <w:sz w:val="22"/>
        </w:rPr>
        <w:t>Business Rates</w:t>
      </w:r>
    </w:p>
    <w:p w:rsidR="009A2E32" w:rsidRDefault="009A2E32" w:rsidP="009A2E32">
      <w:pPr>
        <w:ind w:left="284"/>
        <w:rPr>
          <w:rFonts w:ascii="Arial" w:hAnsi="Arial" w:cs="Arial"/>
          <w:bCs/>
          <w:color w:val="000080"/>
          <w:sz w:val="22"/>
        </w:rPr>
      </w:pPr>
    </w:p>
    <w:p w:rsidR="009A2E32" w:rsidRPr="009A2E32" w:rsidRDefault="009A2E32" w:rsidP="00D022D2">
      <w:pPr>
        <w:spacing w:line="276" w:lineRule="auto"/>
        <w:ind w:left="227"/>
        <w:rPr>
          <w:rFonts w:ascii="Arial" w:eastAsia="Calibri" w:hAnsi="Arial" w:cs="Arial"/>
          <w:sz w:val="22"/>
          <w:szCs w:val="22"/>
        </w:rPr>
      </w:pPr>
      <w:r w:rsidRPr="00667AAE">
        <w:rPr>
          <w:rFonts w:ascii="Arial" w:eastAsia="Calibri" w:hAnsi="Arial" w:cs="Arial"/>
          <w:sz w:val="22"/>
          <w:szCs w:val="22"/>
        </w:rPr>
        <w:t xml:space="preserve">Following the introduction of the business rates retention scheme which came into effect from 1 April 2013 the Authority, acting as agent on behalf of the major preceptors, central government and itself is required to make provision for refunding ratepayers who have </w:t>
      </w:r>
      <w:r w:rsidRPr="00667AAE">
        <w:rPr>
          <w:rFonts w:ascii="Arial" w:eastAsia="Calibri" w:hAnsi="Arial" w:cs="Arial"/>
          <w:sz w:val="22"/>
          <w:szCs w:val="22"/>
        </w:rPr>
        <w:lastRenderedPageBreak/>
        <w:t>successfully appealed against the rateable value of their properties on the rating list, this includes amounts relating to non-domestic rates charged to businesses in 2012-13 and earlier financial years. The Council has estimated an amount</w:t>
      </w:r>
      <w:r w:rsidR="007D0B05" w:rsidRPr="00667AAE">
        <w:rPr>
          <w:rFonts w:ascii="Arial" w:eastAsia="Calibri" w:hAnsi="Arial" w:cs="Arial"/>
          <w:sz w:val="22"/>
          <w:szCs w:val="22"/>
        </w:rPr>
        <w:t>, included in the collection fund</w:t>
      </w:r>
      <w:r w:rsidRPr="00667AAE">
        <w:rPr>
          <w:rFonts w:ascii="Arial" w:eastAsia="Calibri" w:hAnsi="Arial" w:cs="Arial"/>
          <w:sz w:val="22"/>
          <w:szCs w:val="22"/>
        </w:rPr>
        <w:t xml:space="preserve"> which is considered to reflect the present obligation</w:t>
      </w:r>
      <w:r w:rsidRPr="009A2E32">
        <w:rPr>
          <w:rFonts w:ascii="Arial" w:eastAsia="Calibri" w:hAnsi="Arial" w:cs="Arial"/>
          <w:sz w:val="22"/>
          <w:szCs w:val="22"/>
        </w:rPr>
        <w:t>.</w:t>
      </w:r>
    </w:p>
    <w:p w:rsidR="009A2E32" w:rsidRPr="009A2E32" w:rsidRDefault="009A2E32">
      <w:pPr>
        <w:rPr>
          <w:rFonts w:ascii="Arial" w:hAnsi="Arial" w:cs="Arial"/>
          <w:bCs/>
          <w:color w:val="000080"/>
          <w:sz w:val="22"/>
          <w:szCs w:val="22"/>
        </w:rPr>
      </w:pPr>
    </w:p>
    <w:p w:rsidR="00F23FFF" w:rsidRDefault="00F23FFF">
      <w:pPr>
        <w:rPr>
          <w:rFonts w:ascii="Arial" w:hAnsi="Arial" w:cs="Arial"/>
          <w:bCs/>
          <w:color w:val="000080"/>
          <w:sz w:val="22"/>
        </w:rPr>
      </w:pPr>
    </w:p>
    <w:p w:rsidR="00F23FFF" w:rsidRDefault="00F23FFF">
      <w:pPr>
        <w:pStyle w:val="xl50"/>
        <w:spacing w:before="0" w:beforeAutospacing="0" w:after="0" w:afterAutospacing="0"/>
        <w:rPr>
          <w:rFonts w:eastAsia="Times New Roman"/>
          <w:bCs w:val="0"/>
          <w:szCs w:val="20"/>
        </w:rPr>
      </w:pPr>
    </w:p>
    <w:p w:rsidR="00F23FFF" w:rsidRDefault="00F23FFF">
      <w:pPr>
        <w:rPr>
          <w:rFonts w:ascii="Arial" w:hAnsi="Arial" w:cs="Arial"/>
          <w:bCs/>
          <w:color w:val="000080"/>
          <w:sz w:val="22"/>
        </w:rPr>
      </w:pPr>
    </w:p>
    <w:p w:rsidR="00F23FFF" w:rsidRDefault="00F23FFF">
      <w:pPr>
        <w:rPr>
          <w:rFonts w:ascii="Arial" w:hAnsi="Arial" w:cs="Arial"/>
          <w:bCs/>
          <w:color w:val="000080"/>
          <w:sz w:val="22"/>
        </w:rPr>
      </w:pPr>
    </w:p>
    <w:p w:rsidR="00AB34DE" w:rsidRDefault="00AB34DE">
      <w:pPr>
        <w:rPr>
          <w:rFonts w:ascii="Arial" w:hAnsi="Arial" w:cs="Arial"/>
          <w:bCs/>
          <w:color w:val="000080"/>
          <w:sz w:val="22"/>
        </w:rPr>
      </w:pPr>
    </w:p>
    <w:p w:rsidR="00AB34DE" w:rsidRDefault="00AB34DE">
      <w:pPr>
        <w:rPr>
          <w:rFonts w:ascii="Arial" w:hAnsi="Arial" w:cs="Arial"/>
          <w:bCs/>
          <w:color w:val="000080"/>
          <w:sz w:val="22"/>
        </w:rPr>
      </w:pPr>
    </w:p>
    <w:p w:rsidR="00AB34DE" w:rsidRDefault="00AB34DE">
      <w:pPr>
        <w:rPr>
          <w:rFonts w:ascii="Arial" w:hAnsi="Arial" w:cs="Arial"/>
          <w:bCs/>
          <w:color w:val="000080"/>
          <w:sz w:val="22"/>
        </w:rPr>
      </w:pPr>
    </w:p>
    <w:p w:rsidR="004D6673" w:rsidRDefault="004D6673">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4B767D" w:rsidRDefault="004B767D">
      <w:pPr>
        <w:rPr>
          <w:rFonts w:ascii="Arial" w:hAnsi="Arial" w:cs="Arial"/>
          <w:bCs/>
          <w:color w:val="000080"/>
          <w:sz w:val="22"/>
        </w:rPr>
      </w:pPr>
    </w:p>
    <w:p w:rsidR="00F46955" w:rsidRDefault="00F46955">
      <w:pPr>
        <w:rPr>
          <w:rFonts w:ascii="Arial" w:hAnsi="Arial" w:cs="Arial"/>
          <w:bCs/>
          <w:color w:val="000080"/>
          <w:sz w:val="22"/>
        </w:rPr>
      </w:pPr>
    </w:p>
    <w:p w:rsidR="00F46955" w:rsidRDefault="00F46955">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B95630" w:rsidRDefault="00B95630">
      <w:pPr>
        <w:rPr>
          <w:rFonts w:ascii="Arial" w:hAnsi="Arial" w:cs="Arial"/>
          <w:bCs/>
          <w:color w:val="000080"/>
          <w:sz w:val="22"/>
        </w:rPr>
      </w:pPr>
    </w:p>
    <w:p w:rsidR="00F23FFF" w:rsidRDefault="00F23FFF">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7D0B05" w:rsidRDefault="007D0B05">
      <w:pPr>
        <w:rPr>
          <w:rFonts w:ascii="Arial" w:hAnsi="Arial" w:cs="Arial"/>
          <w:bCs/>
          <w:color w:val="000080"/>
          <w:sz w:val="22"/>
        </w:rPr>
      </w:pPr>
    </w:p>
    <w:p w:rsidR="00F23FFF" w:rsidRPr="00ED248D" w:rsidRDefault="003552BC" w:rsidP="00ED248D">
      <w:pPr>
        <w:ind w:left="142" w:hanging="426"/>
        <w:rPr>
          <w:rFonts w:ascii="Arial" w:hAnsi="Arial" w:cs="Arial"/>
          <w:b/>
          <w:color w:val="FF0000"/>
          <w:sz w:val="24"/>
        </w:rPr>
      </w:pPr>
      <w:r>
        <w:rPr>
          <w:rFonts w:ascii="Arial" w:hAnsi="Arial" w:cs="Arial"/>
          <w:b/>
          <w:color w:val="000080"/>
          <w:sz w:val="24"/>
        </w:rPr>
        <w:lastRenderedPageBreak/>
        <w:t>5     Adjustments between Accounting Basis and Funding Basis under Regulations and other comprehensive expenditure and income</w:t>
      </w:r>
    </w:p>
    <w:p w:rsidR="00ED248D" w:rsidRDefault="003552BC">
      <w:pPr>
        <w:rPr>
          <w:rFonts w:ascii="Arial" w:hAnsi="Arial" w:cs="Arial"/>
          <w:bCs/>
        </w:rPr>
      </w:pPr>
      <w:r>
        <w:rPr>
          <w:rFonts w:ascii="Arial" w:hAnsi="Arial" w:cs="Arial"/>
          <w:bCs/>
        </w:rPr>
        <w:t>This note details the adjustments that are made to the total comprehensive income and expenditure recognised in the year in accordance with proper practices to arrive at the movement in funds on a statutory basis which are available to meet future expenditure.</w:t>
      </w:r>
    </w:p>
    <w:p w:rsidR="00C472FA" w:rsidRDefault="00C472FA">
      <w:pPr>
        <w:rPr>
          <w:noProof/>
          <w:lang w:eastAsia="en-GB"/>
        </w:rPr>
      </w:pPr>
    </w:p>
    <w:p w:rsidR="00D55138" w:rsidRDefault="00667AAE" w:rsidP="00F46955">
      <w:pPr>
        <w:ind w:left="-567"/>
        <w:jc w:val="center"/>
        <w:rPr>
          <w:rFonts w:ascii="Arial" w:hAnsi="Arial" w:cs="Arial"/>
          <w:bCs/>
        </w:rPr>
      </w:pPr>
      <w:r w:rsidRPr="00667AAE">
        <w:rPr>
          <w:noProof/>
          <w:lang w:eastAsia="en-GB"/>
        </w:rPr>
        <w:drawing>
          <wp:inline distT="0" distB="0" distL="0" distR="0" wp14:anchorId="13038E72" wp14:editId="0A7C56F3">
            <wp:extent cx="5848350" cy="7972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7972425"/>
                    </a:xfrm>
                    <a:prstGeom prst="rect">
                      <a:avLst/>
                    </a:prstGeom>
                    <a:noFill/>
                    <a:ln>
                      <a:noFill/>
                    </a:ln>
                  </pic:spPr>
                </pic:pic>
              </a:graphicData>
            </a:graphic>
          </wp:inline>
        </w:drawing>
      </w:r>
    </w:p>
    <w:p w:rsidR="00C472FA" w:rsidRDefault="00C472FA">
      <w:pPr>
        <w:rPr>
          <w:rFonts w:ascii="Arial" w:hAnsi="Arial" w:cs="Arial"/>
          <w:bCs/>
          <w:sz w:val="22"/>
        </w:rPr>
      </w:pPr>
    </w:p>
    <w:p w:rsidR="00F23FFF" w:rsidRDefault="003552BC">
      <w:pPr>
        <w:rPr>
          <w:rFonts w:ascii="Arial" w:hAnsi="Arial" w:cs="Arial"/>
          <w:bCs/>
          <w:color w:val="000080"/>
          <w:sz w:val="22"/>
        </w:rPr>
      </w:pPr>
      <w:r>
        <w:rPr>
          <w:rFonts w:ascii="Arial" w:hAnsi="Arial" w:cs="Arial"/>
          <w:bCs/>
          <w:color w:val="000080"/>
          <w:sz w:val="22"/>
        </w:rPr>
        <w:t>Movement in other comprehensive income and expenditure</w:t>
      </w: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A83D32" w:rsidRDefault="00A83D32">
      <w:pPr>
        <w:rPr>
          <w:rFonts w:ascii="Arial" w:hAnsi="Arial" w:cs="Arial"/>
          <w:bCs/>
          <w:sz w:val="22"/>
        </w:rPr>
      </w:pPr>
    </w:p>
    <w:p w:rsidR="00A83D32" w:rsidRDefault="00667AAE">
      <w:pPr>
        <w:rPr>
          <w:rFonts w:ascii="Arial" w:hAnsi="Arial" w:cs="Arial"/>
          <w:bCs/>
          <w:sz w:val="22"/>
        </w:rPr>
        <w:sectPr w:rsidR="00A83D32" w:rsidSect="009A2E32">
          <w:pgSz w:w="11907" w:h="16840" w:code="9"/>
          <w:pgMar w:top="1440" w:right="1275" w:bottom="1276" w:left="1701" w:header="720" w:footer="720" w:gutter="0"/>
          <w:cols w:space="720"/>
          <w:docGrid w:linePitch="272"/>
        </w:sectPr>
      </w:pPr>
      <w:r w:rsidRPr="00667AAE">
        <w:rPr>
          <w:noProof/>
          <w:lang w:eastAsia="en-GB"/>
        </w:rPr>
        <w:drawing>
          <wp:inline distT="0" distB="0" distL="0" distR="0">
            <wp:extent cx="5038725" cy="3933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3933825"/>
                    </a:xfrm>
                    <a:prstGeom prst="rect">
                      <a:avLst/>
                    </a:prstGeom>
                    <a:noFill/>
                    <a:ln>
                      <a:noFill/>
                    </a:ln>
                  </pic:spPr>
                </pic:pic>
              </a:graphicData>
            </a:graphic>
          </wp:inline>
        </w:drawing>
      </w:r>
    </w:p>
    <w:p w:rsidR="00F23FFF" w:rsidRDefault="003552BC">
      <w:pPr>
        <w:rPr>
          <w:rFonts w:ascii="Arial" w:hAnsi="Arial" w:cs="Arial"/>
          <w:b/>
          <w:color w:val="000080"/>
          <w:sz w:val="22"/>
        </w:rPr>
      </w:pPr>
      <w:r>
        <w:rPr>
          <w:rFonts w:ascii="Arial" w:hAnsi="Arial" w:cs="Arial"/>
          <w:b/>
          <w:color w:val="000080"/>
          <w:sz w:val="22"/>
        </w:rPr>
        <w:lastRenderedPageBreak/>
        <w:t xml:space="preserve">6   Movement in Reserves Statement – Transfers </w:t>
      </w:r>
      <w:r w:rsidR="00D7519D">
        <w:rPr>
          <w:rFonts w:ascii="Arial" w:hAnsi="Arial" w:cs="Arial"/>
          <w:b/>
          <w:color w:val="000080"/>
          <w:sz w:val="22"/>
        </w:rPr>
        <w:t>(</w:t>
      </w:r>
      <w:r>
        <w:rPr>
          <w:rFonts w:ascii="Arial" w:hAnsi="Arial" w:cs="Arial"/>
          <w:b/>
          <w:color w:val="000080"/>
          <w:sz w:val="22"/>
        </w:rPr>
        <w:t>to</w:t>
      </w:r>
      <w:r w:rsidR="00D7519D">
        <w:rPr>
          <w:rFonts w:ascii="Arial" w:hAnsi="Arial" w:cs="Arial"/>
          <w:b/>
          <w:color w:val="000080"/>
          <w:sz w:val="22"/>
        </w:rPr>
        <w:t>)</w:t>
      </w:r>
      <w:r>
        <w:rPr>
          <w:rFonts w:ascii="Arial" w:hAnsi="Arial" w:cs="Arial"/>
          <w:b/>
          <w:color w:val="000080"/>
          <w:sz w:val="22"/>
        </w:rPr>
        <w:t>/</w:t>
      </w:r>
      <w:r w:rsidR="00D7519D">
        <w:rPr>
          <w:rFonts w:ascii="Arial" w:hAnsi="Arial" w:cs="Arial"/>
          <w:b/>
          <w:color w:val="000080"/>
          <w:sz w:val="22"/>
        </w:rPr>
        <w:t xml:space="preserve"> </w:t>
      </w:r>
      <w:r>
        <w:rPr>
          <w:rFonts w:ascii="Arial" w:hAnsi="Arial" w:cs="Arial"/>
          <w:b/>
          <w:color w:val="000080"/>
          <w:sz w:val="22"/>
        </w:rPr>
        <w:t>from Earmarked Reserves</w:t>
      </w:r>
    </w:p>
    <w:p w:rsidR="00F23FFF" w:rsidRDefault="00F23FFF">
      <w:pPr>
        <w:rPr>
          <w:rFonts w:ascii="Arial" w:hAnsi="Arial" w:cs="Arial"/>
          <w:bCs/>
          <w:sz w:val="22"/>
        </w:rPr>
      </w:pPr>
    </w:p>
    <w:p w:rsidR="00F23FFF" w:rsidRDefault="003552BC">
      <w:pPr>
        <w:rPr>
          <w:rFonts w:ascii="Arial" w:hAnsi="Arial" w:cs="Arial"/>
          <w:bCs/>
          <w:sz w:val="22"/>
        </w:rPr>
      </w:pPr>
      <w:r>
        <w:rPr>
          <w:rFonts w:ascii="Arial" w:hAnsi="Arial" w:cs="Arial"/>
          <w:bCs/>
          <w:sz w:val="22"/>
        </w:rPr>
        <w:t>This note sets out the amount set aside from the General Fund balances in earmarked reserves to provide financing for</w:t>
      </w:r>
      <w:r w:rsidR="00D7519D">
        <w:rPr>
          <w:rFonts w:ascii="Arial" w:hAnsi="Arial" w:cs="Arial"/>
          <w:bCs/>
          <w:sz w:val="22"/>
        </w:rPr>
        <w:t xml:space="preserve"> future expenditure plans and t</w:t>
      </w:r>
      <w:r>
        <w:rPr>
          <w:rFonts w:ascii="Arial" w:hAnsi="Arial" w:cs="Arial"/>
          <w:bCs/>
          <w:sz w:val="22"/>
        </w:rPr>
        <w:t>he amounts posted back from earmarked reserves to meet General Fund expendi</w:t>
      </w:r>
      <w:r w:rsidR="00F446E3">
        <w:rPr>
          <w:rFonts w:ascii="Arial" w:hAnsi="Arial" w:cs="Arial"/>
          <w:bCs/>
          <w:sz w:val="22"/>
        </w:rPr>
        <w:t>ture in 201</w:t>
      </w:r>
      <w:r w:rsidR="0053390C">
        <w:rPr>
          <w:rFonts w:ascii="Arial" w:hAnsi="Arial" w:cs="Arial"/>
          <w:bCs/>
          <w:sz w:val="22"/>
        </w:rPr>
        <w:t>3</w:t>
      </w:r>
      <w:r w:rsidR="00F446E3">
        <w:rPr>
          <w:rFonts w:ascii="Arial" w:hAnsi="Arial" w:cs="Arial"/>
          <w:bCs/>
          <w:sz w:val="22"/>
        </w:rPr>
        <w:t>-</w:t>
      </w:r>
      <w:r w:rsidR="00DB11BA">
        <w:rPr>
          <w:rFonts w:ascii="Arial" w:hAnsi="Arial" w:cs="Arial"/>
          <w:bCs/>
          <w:sz w:val="22"/>
        </w:rPr>
        <w:t>1</w:t>
      </w:r>
      <w:r w:rsidR="0053390C">
        <w:rPr>
          <w:rFonts w:ascii="Arial" w:hAnsi="Arial" w:cs="Arial"/>
          <w:bCs/>
          <w:sz w:val="22"/>
        </w:rPr>
        <w:t>4</w:t>
      </w:r>
      <w:r>
        <w:rPr>
          <w:rFonts w:ascii="Arial" w:hAnsi="Arial" w:cs="Arial"/>
          <w:bCs/>
          <w:sz w:val="22"/>
        </w:rPr>
        <w:t>.</w:t>
      </w:r>
    </w:p>
    <w:p w:rsidR="0002630E" w:rsidRDefault="0002630E">
      <w:pPr>
        <w:rPr>
          <w:rFonts w:ascii="Arial" w:hAnsi="Arial" w:cs="Arial"/>
          <w:bCs/>
          <w:sz w:val="22"/>
        </w:rPr>
      </w:pPr>
    </w:p>
    <w:p w:rsidR="0013300E" w:rsidRDefault="0013300E">
      <w:pPr>
        <w:rPr>
          <w:rFonts w:ascii="Arial" w:hAnsi="Arial" w:cs="Arial"/>
          <w:bCs/>
          <w:sz w:val="22"/>
        </w:rPr>
      </w:pPr>
    </w:p>
    <w:p w:rsidR="0002630E" w:rsidRDefault="006170AA" w:rsidP="0002630E">
      <w:pPr>
        <w:jc w:val="center"/>
        <w:rPr>
          <w:rFonts w:ascii="Arial" w:hAnsi="Arial" w:cs="Arial"/>
          <w:bCs/>
          <w:sz w:val="22"/>
        </w:rPr>
        <w:sectPr w:rsidR="0002630E" w:rsidSect="008C19B5">
          <w:pgSz w:w="16840" w:h="11907" w:orient="landscape" w:code="9"/>
          <w:pgMar w:top="1276" w:right="1440" w:bottom="1276" w:left="1440" w:header="720" w:footer="720" w:gutter="0"/>
          <w:cols w:space="720"/>
        </w:sectPr>
      </w:pPr>
      <w:r w:rsidRPr="006170AA">
        <w:rPr>
          <w:noProof/>
          <w:lang w:eastAsia="en-GB"/>
        </w:rPr>
        <w:drawing>
          <wp:inline distT="0" distB="0" distL="0" distR="0">
            <wp:extent cx="8362950" cy="474228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62950" cy="4742285"/>
                    </a:xfrm>
                    <a:prstGeom prst="rect">
                      <a:avLst/>
                    </a:prstGeom>
                    <a:noFill/>
                    <a:ln>
                      <a:noFill/>
                    </a:ln>
                  </pic:spPr>
                </pic:pic>
              </a:graphicData>
            </a:graphic>
          </wp:inline>
        </w:drawing>
      </w:r>
    </w:p>
    <w:p w:rsidR="00C42B35" w:rsidRDefault="003552BC" w:rsidP="00E231FE">
      <w:pPr>
        <w:tabs>
          <w:tab w:val="left" w:pos="567"/>
        </w:tabs>
        <w:ind w:left="567" w:hanging="567"/>
        <w:rPr>
          <w:rFonts w:ascii="Arial" w:hAnsi="Arial" w:cs="Arial"/>
          <w:b/>
          <w:color w:val="000080"/>
          <w:sz w:val="24"/>
        </w:rPr>
      </w:pPr>
      <w:r>
        <w:rPr>
          <w:rFonts w:ascii="Arial" w:hAnsi="Arial" w:cs="Arial"/>
          <w:b/>
          <w:color w:val="000080"/>
          <w:sz w:val="24"/>
        </w:rPr>
        <w:lastRenderedPageBreak/>
        <w:t xml:space="preserve">7      Comprehensive Income and Expenditure Statement - Other Operating Expenditure </w:t>
      </w:r>
    </w:p>
    <w:p w:rsidR="00260FF0" w:rsidRPr="00E231FE" w:rsidRDefault="00260FF0" w:rsidP="00E231FE">
      <w:pPr>
        <w:tabs>
          <w:tab w:val="left" w:pos="567"/>
        </w:tabs>
        <w:ind w:left="567" w:hanging="567"/>
        <w:rPr>
          <w:rFonts w:ascii="Arial" w:hAnsi="Arial" w:cs="Arial"/>
          <w:b/>
          <w:color w:val="000080"/>
          <w:sz w:val="24"/>
        </w:rPr>
      </w:pPr>
    </w:p>
    <w:tbl>
      <w:tblPr>
        <w:tblW w:w="10139" w:type="dxa"/>
        <w:jc w:val="center"/>
        <w:tblInd w:w="93" w:type="dxa"/>
        <w:tblLook w:val="04A0" w:firstRow="1" w:lastRow="0" w:firstColumn="1" w:lastColumn="0" w:noHBand="0" w:noVBand="1"/>
      </w:tblPr>
      <w:tblGrid>
        <w:gridCol w:w="280"/>
        <w:gridCol w:w="1501"/>
        <w:gridCol w:w="280"/>
        <w:gridCol w:w="5508"/>
        <w:gridCol w:w="711"/>
        <w:gridCol w:w="1501"/>
        <w:gridCol w:w="358"/>
      </w:tblGrid>
      <w:tr w:rsidR="0053390C" w:rsidRPr="0053390C" w:rsidTr="0053390C">
        <w:trPr>
          <w:trHeight w:val="262"/>
          <w:jc w:val="center"/>
        </w:trPr>
        <w:tc>
          <w:tcPr>
            <w:tcW w:w="280" w:type="dxa"/>
            <w:tcBorders>
              <w:top w:val="single" w:sz="4" w:space="0" w:color="auto"/>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280"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5508"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711"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358" w:type="dxa"/>
            <w:tcBorders>
              <w:top w:val="single" w:sz="4" w:space="0" w:color="auto"/>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74"/>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2012-13</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2013-14</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74"/>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Net</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Net</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74"/>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Expenditure</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Expenditure</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74"/>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Other operating expenditure</w:t>
            </w:r>
          </w:p>
        </w:tc>
        <w:tc>
          <w:tcPr>
            <w:tcW w:w="71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Note</w:t>
            </w:r>
          </w:p>
        </w:tc>
        <w:tc>
          <w:tcPr>
            <w:tcW w:w="150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62"/>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4,039,148</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Precepts of Local Precepting Authorities</w:t>
            </w: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4,233,499</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62"/>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147,813</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Internal Drainage Boards</w:t>
            </w: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166,121</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62"/>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355,972</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Payment to the Government for Housing Pooled Capital receipts</w:t>
            </w: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395,851</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74"/>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(343,188)</w:t>
            </w: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Loss (Gain) on disposal of non-current assets</w:t>
            </w:r>
          </w:p>
        </w:tc>
        <w:tc>
          <w:tcPr>
            <w:tcW w:w="711"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5</w:t>
            </w:r>
          </w:p>
        </w:tc>
        <w:tc>
          <w:tcPr>
            <w:tcW w:w="1501"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(1,337,901)</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74"/>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28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550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71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501"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90"/>
          <w:jc w:val="center"/>
        </w:trPr>
        <w:tc>
          <w:tcPr>
            <w:tcW w:w="280"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jc w:val="right"/>
              <w:rPr>
                <w:rFonts w:ascii="Arial" w:hAnsi="Arial" w:cs="Arial"/>
                <w:b/>
                <w:bCs/>
                <w:color w:val="000000"/>
                <w:sz w:val="22"/>
                <w:szCs w:val="22"/>
                <w:lang w:eastAsia="en-GB"/>
              </w:rPr>
            </w:pPr>
            <w:r w:rsidRPr="0053390C">
              <w:rPr>
                <w:rFonts w:ascii="Arial" w:hAnsi="Arial" w:cs="Arial"/>
                <w:b/>
                <w:bCs/>
                <w:color w:val="000000"/>
                <w:sz w:val="22"/>
                <w:szCs w:val="22"/>
                <w:lang w:eastAsia="en-GB"/>
              </w:rPr>
              <w:t>4,199,745</w:t>
            </w:r>
          </w:p>
        </w:tc>
        <w:tc>
          <w:tcPr>
            <w:tcW w:w="280"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5508"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711"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1501"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jc w:val="right"/>
              <w:rPr>
                <w:rFonts w:ascii="Arial" w:hAnsi="Arial" w:cs="Arial"/>
                <w:b/>
                <w:bCs/>
                <w:color w:val="000000"/>
                <w:sz w:val="22"/>
                <w:szCs w:val="22"/>
                <w:lang w:eastAsia="en-GB"/>
              </w:rPr>
            </w:pPr>
            <w:r w:rsidRPr="0053390C">
              <w:rPr>
                <w:rFonts w:ascii="Arial" w:hAnsi="Arial" w:cs="Arial"/>
                <w:b/>
                <w:bCs/>
                <w:color w:val="000000"/>
                <w:sz w:val="22"/>
                <w:szCs w:val="22"/>
                <w:lang w:eastAsia="en-GB"/>
              </w:rPr>
              <w:t>3,457,570</w:t>
            </w:r>
          </w:p>
        </w:tc>
        <w:tc>
          <w:tcPr>
            <w:tcW w:w="358"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62"/>
          <w:jc w:val="center"/>
        </w:trPr>
        <w:tc>
          <w:tcPr>
            <w:tcW w:w="280" w:type="dxa"/>
            <w:tcBorders>
              <w:top w:val="nil"/>
              <w:left w:val="single" w:sz="4" w:space="0" w:color="auto"/>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280"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5508"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711"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501"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358" w:type="dxa"/>
            <w:tcBorders>
              <w:top w:val="nil"/>
              <w:left w:val="nil"/>
              <w:bottom w:val="single" w:sz="4" w:space="0" w:color="auto"/>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bl>
    <w:p w:rsidR="002006A3" w:rsidRDefault="002006A3">
      <w:pPr>
        <w:rPr>
          <w:rFonts w:ascii="Arial" w:hAnsi="Arial" w:cs="Arial"/>
          <w:bCs/>
          <w:sz w:val="22"/>
        </w:rPr>
      </w:pPr>
    </w:p>
    <w:p w:rsidR="00F23FFF" w:rsidRDefault="00F23FFF">
      <w:pPr>
        <w:pStyle w:val="xl65"/>
        <w:spacing w:before="0" w:beforeAutospacing="0" w:after="0" w:afterAutospacing="0"/>
        <w:rPr>
          <w:rFonts w:eastAsia="Times New Roman"/>
          <w:bCs/>
          <w:szCs w:val="20"/>
        </w:rPr>
      </w:pPr>
    </w:p>
    <w:p w:rsidR="00780499" w:rsidRDefault="003552BC" w:rsidP="00780499">
      <w:pPr>
        <w:tabs>
          <w:tab w:val="left" w:pos="567"/>
        </w:tabs>
        <w:ind w:left="567" w:hanging="567"/>
        <w:rPr>
          <w:rFonts w:ascii="Arial" w:hAnsi="Arial" w:cs="Arial"/>
          <w:b/>
          <w:color w:val="000080"/>
          <w:sz w:val="24"/>
        </w:rPr>
      </w:pPr>
      <w:r>
        <w:rPr>
          <w:rFonts w:ascii="Arial" w:hAnsi="Arial" w:cs="Arial"/>
          <w:b/>
          <w:color w:val="000080"/>
          <w:sz w:val="24"/>
        </w:rPr>
        <w:t>8      Comprehensive Income and Expenditure Statement - Finan</w:t>
      </w:r>
      <w:r w:rsidR="00C42B35">
        <w:rPr>
          <w:rFonts w:ascii="Arial" w:hAnsi="Arial" w:cs="Arial"/>
          <w:b/>
          <w:color w:val="000080"/>
          <w:sz w:val="24"/>
        </w:rPr>
        <w:t xml:space="preserve">cing and Investment Income </w:t>
      </w:r>
      <w:r w:rsidR="00320B03">
        <w:rPr>
          <w:rFonts w:ascii="Arial" w:hAnsi="Arial" w:cs="Arial"/>
          <w:b/>
          <w:color w:val="000080"/>
          <w:sz w:val="24"/>
        </w:rPr>
        <w:t>and Expendi</w:t>
      </w:r>
      <w:r w:rsidR="00780499">
        <w:rPr>
          <w:rFonts w:ascii="Arial" w:hAnsi="Arial" w:cs="Arial"/>
          <w:b/>
          <w:color w:val="000080"/>
          <w:sz w:val="24"/>
        </w:rPr>
        <w:t>ture</w:t>
      </w:r>
    </w:p>
    <w:p w:rsidR="00F271CB" w:rsidRDefault="00F271CB" w:rsidP="00780499">
      <w:pPr>
        <w:tabs>
          <w:tab w:val="left" w:pos="567"/>
        </w:tabs>
        <w:ind w:left="567" w:hanging="567"/>
        <w:rPr>
          <w:rFonts w:ascii="Arial" w:hAnsi="Arial" w:cs="Arial"/>
          <w:b/>
          <w:color w:val="000080"/>
          <w:sz w:val="24"/>
        </w:rPr>
      </w:pPr>
    </w:p>
    <w:tbl>
      <w:tblPr>
        <w:tblW w:w="9975" w:type="dxa"/>
        <w:jc w:val="center"/>
        <w:tblInd w:w="-88" w:type="dxa"/>
        <w:tblLook w:val="04A0" w:firstRow="1" w:lastRow="0" w:firstColumn="1" w:lastColumn="0" w:noHBand="0" w:noVBand="1"/>
      </w:tblPr>
      <w:tblGrid>
        <w:gridCol w:w="459"/>
        <w:gridCol w:w="1488"/>
        <w:gridCol w:w="302"/>
        <w:gridCol w:w="4660"/>
        <w:gridCol w:w="278"/>
        <w:gridCol w:w="705"/>
        <w:gridCol w:w="278"/>
        <w:gridCol w:w="1488"/>
        <w:gridCol w:w="341"/>
      </w:tblGrid>
      <w:tr w:rsidR="00780499" w:rsidRPr="00780499" w:rsidTr="002C6D98">
        <w:trPr>
          <w:trHeight w:val="300"/>
          <w:jc w:val="center"/>
        </w:trPr>
        <w:tc>
          <w:tcPr>
            <w:tcW w:w="459" w:type="dxa"/>
            <w:tcBorders>
              <w:top w:val="single" w:sz="4" w:space="0" w:color="auto"/>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single" w:sz="4" w:space="0" w:color="auto"/>
              <w:left w:val="nil"/>
              <w:bottom w:val="nil"/>
              <w:right w:val="nil"/>
            </w:tcBorders>
            <w:shd w:val="clear" w:color="auto" w:fill="auto"/>
            <w:noWrap/>
            <w:vAlign w:val="bottom"/>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2012-13</w:t>
            </w:r>
          </w:p>
        </w:tc>
        <w:tc>
          <w:tcPr>
            <w:tcW w:w="278" w:type="dxa"/>
            <w:tcBorders>
              <w:top w:val="single" w:sz="4" w:space="0" w:color="auto"/>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4660" w:type="dxa"/>
            <w:tcBorders>
              <w:top w:val="single" w:sz="4" w:space="0" w:color="auto"/>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278" w:type="dxa"/>
            <w:tcBorders>
              <w:top w:val="single" w:sz="4" w:space="0" w:color="auto"/>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705" w:type="dxa"/>
            <w:tcBorders>
              <w:top w:val="single" w:sz="4" w:space="0" w:color="auto"/>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278" w:type="dxa"/>
            <w:tcBorders>
              <w:top w:val="single" w:sz="4" w:space="0" w:color="auto"/>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single" w:sz="4" w:space="0" w:color="auto"/>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341" w:type="dxa"/>
            <w:tcBorders>
              <w:top w:val="single" w:sz="4" w:space="0" w:color="auto"/>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300"/>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Restated</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4660"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2013-14</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300"/>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Net</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4660"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Net</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300"/>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Expenditure</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4660"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Expenditure</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615"/>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4660" w:type="dxa"/>
            <w:tcBorders>
              <w:top w:val="nil"/>
              <w:left w:val="nil"/>
              <w:bottom w:val="nil"/>
              <w:right w:val="nil"/>
            </w:tcBorders>
            <w:shd w:val="clear" w:color="auto" w:fill="auto"/>
            <w:vAlign w:val="center"/>
            <w:hideMark/>
          </w:tcPr>
          <w:p w:rsidR="00780499" w:rsidRPr="00780499" w:rsidRDefault="00780499" w:rsidP="00780499">
            <w:pPr>
              <w:rPr>
                <w:rFonts w:ascii="Arial" w:hAnsi="Arial" w:cs="Arial"/>
                <w:b/>
                <w:bCs/>
                <w:color w:val="000000"/>
                <w:sz w:val="22"/>
                <w:szCs w:val="22"/>
                <w:lang w:eastAsia="en-GB"/>
              </w:rPr>
            </w:pPr>
            <w:r w:rsidRPr="00780499">
              <w:rPr>
                <w:rFonts w:ascii="Arial" w:hAnsi="Arial" w:cs="Arial"/>
                <w:b/>
                <w:bCs/>
                <w:color w:val="000000"/>
                <w:sz w:val="22"/>
                <w:szCs w:val="22"/>
                <w:lang w:eastAsia="en-GB"/>
              </w:rPr>
              <w:t>Financing and investment income and expenditure</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Note</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center"/>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630"/>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bottom"/>
            <w:hideMark/>
          </w:tcPr>
          <w:p w:rsidR="00780499" w:rsidRPr="00780499" w:rsidRDefault="00780499" w:rsidP="00780499">
            <w:pPr>
              <w:jc w:val="right"/>
              <w:rPr>
                <w:rFonts w:ascii="Arial" w:hAnsi="Arial" w:cs="Arial"/>
                <w:color w:val="000000"/>
                <w:sz w:val="22"/>
                <w:szCs w:val="22"/>
                <w:lang w:eastAsia="en-GB"/>
              </w:rPr>
            </w:pPr>
            <w:r w:rsidRPr="00780499">
              <w:rPr>
                <w:rFonts w:ascii="Arial" w:hAnsi="Arial" w:cs="Arial"/>
                <w:color w:val="000000"/>
                <w:sz w:val="22"/>
                <w:szCs w:val="22"/>
                <w:lang w:eastAsia="en-GB"/>
              </w:rPr>
              <w:t>1,900,000</w:t>
            </w:r>
          </w:p>
        </w:tc>
        <w:tc>
          <w:tcPr>
            <w:tcW w:w="278" w:type="dxa"/>
            <w:tcBorders>
              <w:top w:val="nil"/>
              <w:left w:val="nil"/>
              <w:bottom w:val="nil"/>
              <w:right w:val="nil"/>
            </w:tcBorders>
            <w:shd w:val="clear" w:color="auto" w:fill="auto"/>
            <w:noWrap/>
            <w:vAlign w:val="bottom"/>
            <w:hideMark/>
          </w:tcPr>
          <w:p w:rsidR="00780499" w:rsidRPr="00780499" w:rsidRDefault="00F271CB" w:rsidP="00780499">
            <w:pPr>
              <w:rPr>
                <w:rFonts w:ascii="Arial" w:hAnsi="Arial" w:cs="Arial"/>
                <w:color w:val="000000"/>
                <w:sz w:val="22"/>
                <w:szCs w:val="22"/>
                <w:lang w:eastAsia="en-GB"/>
              </w:rPr>
            </w:pPr>
            <w:r>
              <w:rPr>
                <w:rFonts w:ascii="Arial" w:hAnsi="Arial" w:cs="Arial"/>
                <w:color w:val="000000"/>
                <w:sz w:val="22"/>
                <w:szCs w:val="22"/>
                <w:lang w:eastAsia="en-GB"/>
              </w:rPr>
              <w:t>*</w:t>
            </w:r>
          </w:p>
        </w:tc>
        <w:tc>
          <w:tcPr>
            <w:tcW w:w="4660" w:type="dxa"/>
            <w:tcBorders>
              <w:top w:val="nil"/>
              <w:left w:val="nil"/>
              <w:bottom w:val="nil"/>
              <w:right w:val="nil"/>
            </w:tcBorders>
            <w:shd w:val="clear" w:color="auto" w:fill="auto"/>
            <w:vAlign w:val="center"/>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Pensions interest cost and expected return on pension assets</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bottom"/>
            <w:hideMark/>
          </w:tcPr>
          <w:p w:rsidR="00780499" w:rsidRPr="00780499" w:rsidRDefault="00780499" w:rsidP="00780499">
            <w:pPr>
              <w:jc w:val="center"/>
              <w:rPr>
                <w:rFonts w:ascii="Arial" w:hAnsi="Arial" w:cs="Arial"/>
                <w:b/>
                <w:bCs/>
                <w:color w:val="000000"/>
                <w:sz w:val="22"/>
                <w:szCs w:val="22"/>
                <w:lang w:eastAsia="en-GB"/>
              </w:rPr>
            </w:pPr>
            <w:r w:rsidRPr="00780499">
              <w:rPr>
                <w:rFonts w:ascii="Arial" w:hAnsi="Arial" w:cs="Arial"/>
                <w:b/>
                <w:bCs/>
                <w:color w:val="000000"/>
                <w:sz w:val="22"/>
                <w:szCs w:val="22"/>
                <w:lang w:eastAsia="en-GB"/>
              </w:rPr>
              <w:t>23</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bottom"/>
            <w:hideMark/>
          </w:tcPr>
          <w:p w:rsidR="00780499" w:rsidRPr="00780499" w:rsidRDefault="00780499" w:rsidP="00780499">
            <w:pPr>
              <w:jc w:val="right"/>
              <w:rPr>
                <w:rFonts w:ascii="Arial" w:hAnsi="Arial" w:cs="Arial"/>
                <w:color w:val="000000"/>
                <w:sz w:val="22"/>
                <w:szCs w:val="22"/>
                <w:lang w:eastAsia="en-GB"/>
              </w:rPr>
            </w:pPr>
            <w:r w:rsidRPr="00780499">
              <w:rPr>
                <w:rFonts w:ascii="Arial" w:hAnsi="Arial" w:cs="Arial"/>
                <w:color w:val="000000"/>
                <w:sz w:val="22"/>
                <w:szCs w:val="22"/>
                <w:lang w:eastAsia="en-GB"/>
              </w:rPr>
              <w:t>2,043,000</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420"/>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bottom"/>
            <w:hideMark/>
          </w:tcPr>
          <w:p w:rsidR="00780499" w:rsidRPr="00780499" w:rsidRDefault="00780499" w:rsidP="00780499">
            <w:pPr>
              <w:jc w:val="right"/>
              <w:rPr>
                <w:rFonts w:ascii="Arial" w:hAnsi="Arial" w:cs="Arial"/>
                <w:color w:val="000000"/>
                <w:sz w:val="22"/>
                <w:szCs w:val="22"/>
                <w:lang w:eastAsia="en-GB"/>
              </w:rPr>
            </w:pPr>
            <w:r w:rsidRPr="00780499">
              <w:rPr>
                <w:rFonts w:ascii="Arial" w:hAnsi="Arial" w:cs="Arial"/>
                <w:color w:val="000000"/>
                <w:sz w:val="22"/>
                <w:szCs w:val="22"/>
                <w:lang w:eastAsia="en-GB"/>
              </w:rPr>
              <w:t>7,192,805</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4660" w:type="dxa"/>
            <w:tcBorders>
              <w:top w:val="nil"/>
              <w:left w:val="nil"/>
              <w:bottom w:val="nil"/>
              <w:right w:val="nil"/>
            </w:tcBorders>
            <w:shd w:val="clear" w:color="auto" w:fill="auto"/>
            <w:vAlign w:val="center"/>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Interest Payable</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bottom"/>
            <w:hideMark/>
          </w:tcPr>
          <w:p w:rsidR="00780499" w:rsidRPr="00780499" w:rsidRDefault="00780499" w:rsidP="00780499">
            <w:pPr>
              <w:jc w:val="center"/>
              <w:rPr>
                <w:rFonts w:ascii="Arial" w:hAnsi="Arial" w:cs="Arial"/>
                <w:b/>
                <w:bCs/>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bottom"/>
            <w:hideMark/>
          </w:tcPr>
          <w:p w:rsidR="00780499" w:rsidRPr="00780499" w:rsidRDefault="00780499" w:rsidP="00780499">
            <w:pPr>
              <w:jc w:val="right"/>
              <w:rPr>
                <w:rFonts w:ascii="Arial" w:hAnsi="Arial" w:cs="Arial"/>
                <w:color w:val="000000"/>
                <w:sz w:val="22"/>
                <w:szCs w:val="22"/>
                <w:lang w:eastAsia="en-GB"/>
              </w:rPr>
            </w:pPr>
            <w:r w:rsidRPr="00780499">
              <w:rPr>
                <w:rFonts w:ascii="Arial" w:hAnsi="Arial" w:cs="Arial"/>
                <w:color w:val="000000"/>
                <w:sz w:val="22"/>
                <w:szCs w:val="22"/>
                <w:lang w:eastAsia="en-GB"/>
              </w:rPr>
              <w:t>7,192,805</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300"/>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nil"/>
              <w:right w:val="nil"/>
            </w:tcBorders>
            <w:shd w:val="clear" w:color="auto" w:fill="auto"/>
            <w:noWrap/>
            <w:vAlign w:val="bottom"/>
            <w:hideMark/>
          </w:tcPr>
          <w:p w:rsidR="00780499" w:rsidRPr="00780499" w:rsidRDefault="00780499" w:rsidP="00780499">
            <w:pPr>
              <w:jc w:val="right"/>
              <w:rPr>
                <w:rFonts w:ascii="Arial" w:hAnsi="Arial" w:cs="Arial"/>
                <w:color w:val="000000"/>
                <w:sz w:val="22"/>
                <w:szCs w:val="22"/>
                <w:lang w:eastAsia="en-GB"/>
              </w:rPr>
            </w:pPr>
            <w:r w:rsidRPr="00780499">
              <w:rPr>
                <w:rFonts w:ascii="Arial" w:hAnsi="Arial" w:cs="Arial"/>
                <w:color w:val="000000"/>
                <w:sz w:val="22"/>
                <w:szCs w:val="22"/>
                <w:lang w:eastAsia="en-GB"/>
              </w:rPr>
              <w:t>(679,692)</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4660" w:type="dxa"/>
            <w:tcBorders>
              <w:top w:val="nil"/>
              <w:left w:val="nil"/>
              <w:bottom w:val="nil"/>
              <w:right w:val="nil"/>
            </w:tcBorders>
            <w:shd w:val="clear" w:color="auto" w:fill="auto"/>
            <w:noWrap/>
            <w:vAlign w:val="center"/>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Interest and investment income</w:t>
            </w: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705"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278" w:type="dxa"/>
            <w:tcBorders>
              <w:top w:val="nil"/>
              <w:left w:val="nil"/>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p>
        </w:tc>
        <w:tc>
          <w:tcPr>
            <w:tcW w:w="1488" w:type="dxa"/>
            <w:tcBorders>
              <w:top w:val="nil"/>
              <w:left w:val="nil"/>
              <w:bottom w:val="nil"/>
              <w:right w:val="nil"/>
            </w:tcBorders>
            <w:shd w:val="clear" w:color="auto" w:fill="auto"/>
            <w:noWrap/>
            <w:vAlign w:val="bottom"/>
            <w:hideMark/>
          </w:tcPr>
          <w:p w:rsidR="00780499" w:rsidRPr="00780499" w:rsidRDefault="00780499" w:rsidP="00780499">
            <w:pPr>
              <w:jc w:val="right"/>
              <w:rPr>
                <w:rFonts w:ascii="Arial" w:hAnsi="Arial" w:cs="Arial"/>
                <w:color w:val="000000"/>
                <w:sz w:val="22"/>
                <w:szCs w:val="22"/>
                <w:lang w:eastAsia="en-GB"/>
              </w:rPr>
            </w:pPr>
            <w:r w:rsidRPr="00780499">
              <w:rPr>
                <w:rFonts w:ascii="Arial" w:hAnsi="Arial" w:cs="Arial"/>
                <w:color w:val="000000"/>
                <w:sz w:val="22"/>
                <w:szCs w:val="22"/>
                <w:lang w:eastAsia="en-GB"/>
              </w:rPr>
              <w:t>(438,563)</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315"/>
          <w:jc w:val="center"/>
        </w:trPr>
        <w:tc>
          <w:tcPr>
            <w:tcW w:w="459" w:type="dxa"/>
            <w:tcBorders>
              <w:top w:val="nil"/>
              <w:left w:val="single" w:sz="4" w:space="0" w:color="auto"/>
              <w:bottom w:val="nil"/>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single" w:sz="8" w:space="0" w:color="auto"/>
              <w:left w:val="nil"/>
              <w:bottom w:val="single" w:sz="8" w:space="0" w:color="auto"/>
              <w:right w:val="nil"/>
            </w:tcBorders>
            <w:shd w:val="clear" w:color="auto" w:fill="auto"/>
            <w:noWrap/>
            <w:vAlign w:val="center"/>
            <w:hideMark/>
          </w:tcPr>
          <w:p w:rsidR="00780499" w:rsidRPr="00780499" w:rsidRDefault="00780499" w:rsidP="00780499">
            <w:pPr>
              <w:jc w:val="right"/>
              <w:rPr>
                <w:rFonts w:ascii="Arial" w:hAnsi="Arial" w:cs="Arial"/>
                <w:b/>
                <w:bCs/>
                <w:color w:val="000000"/>
                <w:sz w:val="22"/>
                <w:szCs w:val="22"/>
                <w:lang w:eastAsia="en-GB"/>
              </w:rPr>
            </w:pPr>
            <w:r w:rsidRPr="00780499">
              <w:rPr>
                <w:rFonts w:ascii="Arial" w:hAnsi="Arial" w:cs="Arial"/>
                <w:b/>
                <w:bCs/>
                <w:color w:val="000000"/>
                <w:sz w:val="22"/>
                <w:szCs w:val="22"/>
                <w:lang w:eastAsia="en-GB"/>
              </w:rPr>
              <w:t>8,413,113</w:t>
            </w:r>
          </w:p>
        </w:tc>
        <w:tc>
          <w:tcPr>
            <w:tcW w:w="278" w:type="dxa"/>
            <w:tcBorders>
              <w:top w:val="single" w:sz="8" w:space="0" w:color="auto"/>
              <w:left w:val="nil"/>
              <w:bottom w:val="single" w:sz="8" w:space="0" w:color="auto"/>
              <w:right w:val="nil"/>
            </w:tcBorders>
            <w:shd w:val="clear" w:color="auto" w:fill="auto"/>
            <w:noWrap/>
            <w:vAlign w:val="center"/>
            <w:hideMark/>
          </w:tcPr>
          <w:p w:rsidR="00780499" w:rsidRPr="00780499" w:rsidRDefault="00780499" w:rsidP="00780499">
            <w:pPr>
              <w:rPr>
                <w:rFonts w:ascii="Arial" w:hAnsi="Arial" w:cs="Arial"/>
                <w:b/>
                <w:bCs/>
                <w:color w:val="000000"/>
                <w:sz w:val="22"/>
                <w:szCs w:val="22"/>
                <w:lang w:eastAsia="en-GB"/>
              </w:rPr>
            </w:pPr>
            <w:r w:rsidRPr="00780499">
              <w:rPr>
                <w:rFonts w:ascii="Arial" w:hAnsi="Arial" w:cs="Arial"/>
                <w:b/>
                <w:bCs/>
                <w:color w:val="000000"/>
                <w:sz w:val="22"/>
                <w:szCs w:val="22"/>
                <w:lang w:eastAsia="en-GB"/>
              </w:rPr>
              <w:t> </w:t>
            </w:r>
          </w:p>
        </w:tc>
        <w:tc>
          <w:tcPr>
            <w:tcW w:w="4660" w:type="dxa"/>
            <w:tcBorders>
              <w:top w:val="single" w:sz="8" w:space="0" w:color="auto"/>
              <w:left w:val="nil"/>
              <w:bottom w:val="single" w:sz="8" w:space="0" w:color="auto"/>
              <w:right w:val="nil"/>
            </w:tcBorders>
            <w:shd w:val="clear" w:color="auto" w:fill="auto"/>
            <w:noWrap/>
            <w:vAlign w:val="center"/>
            <w:hideMark/>
          </w:tcPr>
          <w:p w:rsidR="00780499" w:rsidRPr="00780499" w:rsidRDefault="00780499" w:rsidP="00780499">
            <w:pPr>
              <w:rPr>
                <w:rFonts w:ascii="Arial" w:hAnsi="Arial" w:cs="Arial"/>
                <w:b/>
                <w:bCs/>
                <w:color w:val="000000"/>
                <w:sz w:val="22"/>
                <w:szCs w:val="22"/>
                <w:lang w:eastAsia="en-GB"/>
              </w:rPr>
            </w:pPr>
            <w:r w:rsidRPr="00780499">
              <w:rPr>
                <w:rFonts w:ascii="Arial" w:hAnsi="Arial" w:cs="Arial"/>
                <w:b/>
                <w:bCs/>
                <w:color w:val="000000"/>
                <w:sz w:val="22"/>
                <w:szCs w:val="22"/>
                <w:lang w:eastAsia="en-GB"/>
              </w:rPr>
              <w:t> </w:t>
            </w:r>
          </w:p>
        </w:tc>
        <w:tc>
          <w:tcPr>
            <w:tcW w:w="278" w:type="dxa"/>
            <w:tcBorders>
              <w:top w:val="single" w:sz="8" w:space="0" w:color="auto"/>
              <w:left w:val="nil"/>
              <w:bottom w:val="single" w:sz="8"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705" w:type="dxa"/>
            <w:tcBorders>
              <w:top w:val="single" w:sz="8" w:space="0" w:color="auto"/>
              <w:left w:val="nil"/>
              <w:bottom w:val="single" w:sz="8" w:space="0" w:color="auto"/>
              <w:right w:val="nil"/>
            </w:tcBorders>
            <w:shd w:val="clear" w:color="auto" w:fill="auto"/>
            <w:noWrap/>
            <w:vAlign w:val="center"/>
            <w:hideMark/>
          </w:tcPr>
          <w:p w:rsidR="00780499" w:rsidRPr="00780499" w:rsidRDefault="00780499" w:rsidP="00780499">
            <w:pPr>
              <w:rPr>
                <w:rFonts w:ascii="Arial" w:hAnsi="Arial" w:cs="Arial"/>
                <w:b/>
                <w:bCs/>
                <w:color w:val="000000"/>
                <w:sz w:val="22"/>
                <w:szCs w:val="22"/>
                <w:lang w:eastAsia="en-GB"/>
              </w:rPr>
            </w:pPr>
            <w:r w:rsidRPr="00780499">
              <w:rPr>
                <w:rFonts w:ascii="Arial" w:hAnsi="Arial" w:cs="Arial"/>
                <w:b/>
                <w:bCs/>
                <w:color w:val="000000"/>
                <w:sz w:val="22"/>
                <w:szCs w:val="22"/>
                <w:lang w:eastAsia="en-GB"/>
              </w:rPr>
              <w:t> </w:t>
            </w:r>
          </w:p>
        </w:tc>
        <w:tc>
          <w:tcPr>
            <w:tcW w:w="278" w:type="dxa"/>
            <w:tcBorders>
              <w:top w:val="single" w:sz="8" w:space="0" w:color="auto"/>
              <w:left w:val="nil"/>
              <w:bottom w:val="single" w:sz="8" w:space="0" w:color="auto"/>
              <w:right w:val="nil"/>
            </w:tcBorders>
            <w:shd w:val="clear" w:color="auto" w:fill="auto"/>
            <w:noWrap/>
            <w:vAlign w:val="center"/>
            <w:hideMark/>
          </w:tcPr>
          <w:p w:rsidR="00780499" w:rsidRPr="00780499" w:rsidRDefault="00780499" w:rsidP="00780499">
            <w:pPr>
              <w:rPr>
                <w:rFonts w:ascii="Arial" w:hAnsi="Arial" w:cs="Arial"/>
                <w:b/>
                <w:bCs/>
                <w:color w:val="000000"/>
                <w:sz w:val="22"/>
                <w:szCs w:val="22"/>
                <w:lang w:eastAsia="en-GB"/>
              </w:rPr>
            </w:pPr>
            <w:r w:rsidRPr="00780499">
              <w:rPr>
                <w:rFonts w:ascii="Arial" w:hAnsi="Arial" w:cs="Arial"/>
                <w:b/>
                <w:bCs/>
                <w:color w:val="000000"/>
                <w:sz w:val="22"/>
                <w:szCs w:val="22"/>
                <w:lang w:eastAsia="en-GB"/>
              </w:rPr>
              <w:t> </w:t>
            </w:r>
          </w:p>
        </w:tc>
        <w:tc>
          <w:tcPr>
            <w:tcW w:w="1488" w:type="dxa"/>
            <w:tcBorders>
              <w:top w:val="single" w:sz="8" w:space="0" w:color="auto"/>
              <w:left w:val="nil"/>
              <w:bottom w:val="single" w:sz="8" w:space="0" w:color="auto"/>
              <w:right w:val="nil"/>
            </w:tcBorders>
            <w:shd w:val="clear" w:color="auto" w:fill="auto"/>
            <w:noWrap/>
            <w:vAlign w:val="center"/>
            <w:hideMark/>
          </w:tcPr>
          <w:p w:rsidR="00780499" w:rsidRPr="00780499" w:rsidRDefault="00780499" w:rsidP="00780499">
            <w:pPr>
              <w:jc w:val="right"/>
              <w:rPr>
                <w:rFonts w:ascii="Arial" w:hAnsi="Arial" w:cs="Arial"/>
                <w:b/>
                <w:bCs/>
                <w:color w:val="000000"/>
                <w:sz w:val="22"/>
                <w:szCs w:val="22"/>
                <w:lang w:eastAsia="en-GB"/>
              </w:rPr>
            </w:pPr>
            <w:r w:rsidRPr="00780499">
              <w:rPr>
                <w:rFonts w:ascii="Arial" w:hAnsi="Arial" w:cs="Arial"/>
                <w:b/>
                <w:bCs/>
                <w:color w:val="000000"/>
                <w:sz w:val="22"/>
                <w:szCs w:val="22"/>
                <w:lang w:eastAsia="en-GB"/>
              </w:rPr>
              <w:t>8,797,242</w:t>
            </w:r>
          </w:p>
        </w:tc>
        <w:tc>
          <w:tcPr>
            <w:tcW w:w="341" w:type="dxa"/>
            <w:tcBorders>
              <w:top w:val="nil"/>
              <w:left w:val="nil"/>
              <w:bottom w:val="nil"/>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r w:rsidR="00780499" w:rsidRPr="00780499" w:rsidTr="002C6D98">
        <w:trPr>
          <w:trHeight w:val="120"/>
          <w:jc w:val="center"/>
        </w:trPr>
        <w:tc>
          <w:tcPr>
            <w:tcW w:w="459" w:type="dxa"/>
            <w:tcBorders>
              <w:top w:val="nil"/>
              <w:left w:val="single" w:sz="4" w:space="0" w:color="auto"/>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278"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4660"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278"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705"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278"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1488" w:type="dxa"/>
            <w:tcBorders>
              <w:top w:val="nil"/>
              <w:left w:val="nil"/>
              <w:bottom w:val="single" w:sz="4" w:space="0" w:color="auto"/>
              <w:right w:val="nil"/>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c>
          <w:tcPr>
            <w:tcW w:w="341" w:type="dxa"/>
            <w:tcBorders>
              <w:top w:val="nil"/>
              <w:left w:val="nil"/>
              <w:bottom w:val="single" w:sz="4" w:space="0" w:color="auto"/>
              <w:right w:val="single" w:sz="4" w:space="0" w:color="auto"/>
            </w:tcBorders>
            <w:shd w:val="clear" w:color="auto" w:fill="auto"/>
            <w:noWrap/>
            <w:vAlign w:val="bottom"/>
            <w:hideMark/>
          </w:tcPr>
          <w:p w:rsidR="00780499" w:rsidRPr="00780499" w:rsidRDefault="00780499" w:rsidP="00780499">
            <w:pPr>
              <w:rPr>
                <w:rFonts w:ascii="Arial" w:hAnsi="Arial" w:cs="Arial"/>
                <w:color w:val="000000"/>
                <w:sz w:val="22"/>
                <w:szCs w:val="22"/>
                <w:lang w:eastAsia="en-GB"/>
              </w:rPr>
            </w:pPr>
            <w:r w:rsidRPr="00780499">
              <w:rPr>
                <w:rFonts w:ascii="Arial" w:hAnsi="Arial" w:cs="Arial"/>
                <w:color w:val="000000"/>
                <w:sz w:val="22"/>
                <w:szCs w:val="22"/>
                <w:lang w:eastAsia="en-GB"/>
              </w:rPr>
              <w:t> </w:t>
            </w:r>
          </w:p>
        </w:tc>
      </w:tr>
    </w:tbl>
    <w:p w:rsidR="002006A3" w:rsidRDefault="002006A3" w:rsidP="0053390C">
      <w:pPr>
        <w:jc w:val="center"/>
        <w:rPr>
          <w:rFonts w:ascii="Arial" w:hAnsi="Arial" w:cs="Arial"/>
          <w:bCs/>
          <w:sz w:val="22"/>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t xml:space="preserve">9      Comprehensive Income and Expenditure Statement - Taxation </w:t>
      </w:r>
    </w:p>
    <w:p w:rsidR="00727F50" w:rsidRDefault="00727F50">
      <w:pPr>
        <w:pStyle w:val="xl50"/>
        <w:tabs>
          <w:tab w:val="left" w:pos="567"/>
        </w:tabs>
        <w:spacing w:before="0" w:beforeAutospacing="0" w:after="0" w:afterAutospacing="0"/>
        <w:rPr>
          <w:rFonts w:eastAsia="Times New Roman"/>
          <w:bCs w:val="0"/>
          <w:szCs w:val="20"/>
        </w:rPr>
      </w:pPr>
    </w:p>
    <w:tbl>
      <w:tblPr>
        <w:tblW w:w="9959" w:type="dxa"/>
        <w:jc w:val="center"/>
        <w:tblInd w:w="93" w:type="dxa"/>
        <w:tblLook w:val="04A0" w:firstRow="1" w:lastRow="0" w:firstColumn="1" w:lastColumn="0" w:noHBand="0" w:noVBand="1"/>
      </w:tblPr>
      <w:tblGrid>
        <w:gridCol w:w="300"/>
        <w:gridCol w:w="1604"/>
        <w:gridCol w:w="322"/>
        <w:gridCol w:w="4769"/>
        <w:gridCol w:w="760"/>
        <w:gridCol w:w="300"/>
        <w:gridCol w:w="1604"/>
        <w:gridCol w:w="300"/>
      </w:tblGrid>
      <w:tr w:rsidR="00727F50" w:rsidRPr="00727F50" w:rsidTr="00727F50">
        <w:trPr>
          <w:trHeight w:val="155"/>
          <w:jc w:val="center"/>
        </w:trPr>
        <w:tc>
          <w:tcPr>
            <w:tcW w:w="300" w:type="dxa"/>
            <w:tcBorders>
              <w:top w:val="single" w:sz="4" w:space="0" w:color="auto"/>
              <w:left w:val="single" w:sz="4" w:space="0" w:color="auto"/>
              <w:bottom w:val="nil"/>
              <w:right w:val="nil"/>
            </w:tcBorders>
            <w:shd w:val="clear" w:color="auto" w:fill="auto"/>
            <w:noWrap/>
            <w:vAlign w:val="bottom"/>
            <w:hideMark/>
          </w:tcPr>
          <w:p w:rsidR="00727F50" w:rsidRPr="00727F50" w:rsidRDefault="00727F50" w:rsidP="00727F50">
            <w:pPr>
              <w:jc w:val="center"/>
              <w:rPr>
                <w:rFonts w:ascii="Arial" w:hAnsi="Arial" w:cs="Arial"/>
                <w:color w:val="000000"/>
                <w:sz w:val="22"/>
                <w:szCs w:val="22"/>
                <w:lang w:eastAsia="en-GB"/>
              </w:rPr>
            </w:pPr>
          </w:p>
        </w:tc>
        <w:tc>
          <w:tcPr>
            <w:tcW w:w="1604" w:type="dxa"/>
            <w:tcBorders>
              <w:top w:val="single" w:sz="4" w:space="0" w:color="auto"/>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322" w:type="dxa"/>
            <w:tcBorders>
              <w:top w:val="single" w:sz="4" w:space="0" w:color="auto"/>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4769" w:type="dxa"/>
            <w:tcBorders>
              <w:top w:val="single" w:sz="4" w:space="0" w:color="auto"/>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760" w:type="dxa"/>
            <w:tcBorders>
              <w:top w:val="single" w:sz="4" w:space="0" w:color="auto"/>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300" w:type="dxa"/>
            <w:tcBorders>
              <w:top w:val="single" w:sz="4" w:space="0" w:color="auto"/>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single" w:sz="4" w:space="0" w:color="auto"/>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300" w:type="dxa"/>
            <w:tcBorders>
              <w:top w:val="single" w:sz="4" w:space="0" w:color="auto"/>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2012-13</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76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2013-14</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Net</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76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Net</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Expenditure</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76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Expenditure</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56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vAlign w:val="center"/>
            <w:hideMark/>
          </w:tcPr>
          <w:p w:rsidR="00727F50" w:rsidRPr="00727F50" w:rsidRDefault="00727F50" w:rsidP="00727F50">
            <w:pPr>
              <w:rPr>
                <w:rFonts w:ascii="Arial" w:hAnsi="Arial" w:cs="Arial"/>
                <w:b/>
                <w:bCs/>
                <w:color w:val="000000"/>
                <w:sz w:val="22"/>
                <w:szCs w:val="22"/>
                <w:lang w:eastAsia="en-GB"/>
              </w:rPr>
            </w:pPr>
            <w:r w:rsidRPr="00727F50">
              <w:rPr>
                <w:rFonts w:ascii="Arial" w:hAnsi="Arial" w:cs="Arial"/>
                <w:b/>
                <w:bCs/>
                <w:color w:val="000000"/>
                <w:sz w:val="22"/>
                <w:szCs w:val="22"/>
                <w:lang w:eastAsia="en-GB"/>
              </w:rPr>
              <w:t>Taxation and non-specific grant income and expenditure</w:t>
            </w:r>
          </w:p>
        </w:tc>
        <w:tc>
          <w:tcPr>
            <w:tcW w:w="760"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Note</w:t>
            </w: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center"/>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(11,035,199)</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center"/>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Income from Council Tax</w:t>
            </w:r>
          </w:p>
        </w:tc>
        <w:tc>
          <w:tcPr>
            <w:tcW w:w="760" w:type="dxa"/>
            <w:tcBorders>
              <w:top w:val="nil"/>
              <w:left w:val="nil"/>
              <w:bottom w:val="nil"/>
              <w:right w:val="nil"/>
            </w:tcBorders>
            <w:shd w:val="clear" w:color="auto" w:fill="auto"/>
            <w:noWrap/>
            <w:vAlign w:val="bottom"/>
            <w:hideMark/>
          </w:tcPr>
          <w:p w:rsidR="00727F50" w:rsidRPr="00727F50" w:rsidRDefault="00727F50" w:rsidP="00727F50">
            <w:pPr>
              <w:jc w:val="center"/>
              <w:rPr>
                <w:rFonts w:ascii="Arial" w:hAnsi="Arial" w:cs="Arial"/>
                <w:b/>
                <w:bCs/>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(11,268,449)</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(5,309,295)</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center"/>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Business rates income and expenditure</w:t>
            </w:r>
          </w:p>
        </w:tc>
        <w:tc>
          <w:tcPr>
            <w:tcW w:w="760" w:type="dxa"/>
            <w:tcBorders>
              <w:top w:val="nil"/>
              <w:left w:val="nil"/>
              <w:bottom w:val="nil"/>
              <w:right w:val="nil"/>
            </w:tcBorders>
            <w:shd w:val="clear" w:color="auto" w:fill="auto"/>
            <w:noWrap/>
            <w:vAlign w:val="bottom"/>
            <w:hideMark/>
          </w:tcPr>
          <w:p w:rsidR="00727F50" w:rsidRPr="00727F50" w:rsidRDefault="00727F50" w:rsidP="00727F50">
            <w:pPr>
              <w:jc w:val="center"/>
              <w:rPr>
                <w:rFonts w:ascii="Arial" w:hAnsi="Arial" w:cs="Arial"/>
                <w:b/>
                <w:bCs/>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sz w:val="22"/>
                <w:szCs w:val="22"/>
                <w:lang w:eastAsia="en-GB"/>
              </w:rPr>
            </w:pPr>
            <w:r w:rsidRPr="00727F50">
              <w:rPr>
                <w:rFonts w:ascii="Arial" w:hAnsi="Arial" w:cs="Arial"/>
                <w:sz w:val="22"/>
                <w:szCs w:val="22"/>
                <w:lang w:eastAsia="en-GB"/>
              </w:rPr>
              <w:t>(1,833,096)</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(2,033,211)</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center"/>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Non-ringfenced Government Grants</w:t>
            </w:r>
          </w:p>
        </w:tc>
        <w:tc>
          <w:tcPr>
            <w:tcW w:w="760" w:type="dxa"/>
            <w:tcBorders>
              <w:top w:val="nil"/>
              <w:left w:val="nil"/>
              <w:bottom w:val="nil"/>
              <w:right w:val="nil"/>
            </w:tcBorders>
            <w:shd w:val="clear" w:color="auto" w:fill="auto"/>
            <w:noWrap/>
            <w:vAlign w:val="bottom"/>
            <w:hideMark/>
          </w:tcPr>
          <w:p w:rsidR="00727F50" w:rsidRPr="00727F50" w:rsidRDefault="00727F50" w:rsidP="00727F50">
            <w:pPr>
              <w:jc w:val="center"/>
              <w:rPr>
                <w:rFonts w:ascii="Arial" w:hAnsi="Arial" w:cs="Arial"/>
                <w:b/>
                <w:bCs/>
                <w:color w:val="000000"/>
                <w:sz w:val="22"/>
                <w:szCs w:val="22"/>
                <w:lang w:eastAsia="en-GB"/>
              </w:rPr>
            </w:pPr>
            <w:r w:rsidRPr="00727F50">
              <w:rPr>
                <w:rFonts w:ascii="Arial" w:hAnsi="Arial" w:cs="Arial"/>
                <w:b/>
                <w:bCs/>
                <w:color w:val="000000"/>
                <w:sz w:val="22"/>
                <w:szCs w:val="22"/>
                <w:lang w:eastAsia="en-GB"/>
              </w:rPr>
              <w:t>36</w:t>
            </w: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(6,670,466)</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80"/>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(109,850)</w:t>
            </w: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center"/>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Capital Grants and contributions</w:t>
            </w:r>
          </w:p>
        </w:tc>
        <w:tc>
          <w:tcPr>
            <w:tcW w:w="760" w:type="dxa"/>
            <w:tcBorders>
              <w:top w:val="nil"/>
              <w:left w:val="nil"/>
              <w:bottom w:val="nil"/>
              <w:right w:val="nil"/>
            </w:tcBorders>
            <w:shd w:val="clear" w:color="auto" w:fill="auto"/>
            <w:noWrap/>
            <w:vAlign w:val="bottom"/>
            <w:hideMark/>
          </w:tcPr>
          <w:p w:rsidR="00727F50" w:rsidRPr="00727F50" w:rsidRDefault="00727F50" w:rsidP="00727F50">
            <w:pPr>
              <w:jc w:val="center"/>
              <w:rPr>
                <w:rFonts w:ascii="Arial" w:hAnsi="Arial" w:cs="Arial"/>
                <w:b/>
                <w:bCs/>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bottom"/>
            <w:hideMark/>
          </w:tcPr>
          <w:p w:rsidR="00727F50" w:rsidRPr="00727F50" w:rsidRDefault="00727F50" w:rsidP="00727F50">
            <w:pPr>
              <w:jc w:val="right"/>
              <w:rPr>
                <w:rFonts w:ascii="Arial" w:hAnsi="Arial" w:cs="Arial"/>
                <w:color w:val="000000"/>
                <w:sz w:val="22"/>
                <w:szCs w:val="22"/>
                <w:lang w:eastAsia="en-GB"/>
              </w:rPr>
            </w:pPr>
            <w:r w:rsidRPr="00727F50">
              <w:rPr>
                <w:rFonts w:ascii="Arial" w:hAnsi="Arial" w:cs="Arial"/>
                <w:color w:val="000000"/>
                <w:sz w:val="22"/>
                <w:szCs w:val="22"/>
                <w:lang w:eastAsia="en-GB"/>
              </w:rPr>
              <w:t>(412,578)</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127"/>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322"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4769"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76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300"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1604" w:type="dxa"/>
            <w:tcBorders>
              <w:top w:val="nil"/>
              <w:left w:val="nil"/>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295"/>
          <w:jc w:val="center"/>
        </w:trPr>
        <w:tc>
          <w:tcPr>
            <w:tcW w:w="300" w:type="dxa"/>
            <w:tcBorders>
              <w:top w:val="nil"/>
              <w:left w:val="single" w:sz="4" w:space="0" w:color="auto"/>
              <w:bottom w:val="nil"/>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single" w:sz="8" w:space="0" w:color="auto"/>
              <w:left w:val="nil"/>
              <w:bottom w:val="single" w:sz="8" w:space="0" w:color="auto"/>
              <w:right w:val="nil"/>
            </w:tcBorders>
            <w:shd w:val="clear" w:color="auto" w:fill="auto"/>
            <w:noWrap/>
            <w:vAlign w:val="center"/>
            <w:hideMark/>
          </w:tcPr>
          <w:p w:rsidR="00727F50" w:rsidRPr="00727F50" w:rsidRDefault="00727F50" w:rsidP="00727F50">
            <w:pPr>
              <w:jc w:val="right"/>
              <w:rPr>
                <w:rFonts w:ascii="Arial" w:hAnsi="Arial" w:cs="Arial"/>
                <w:b/>
                <w:bCs/>
                <w:color w:val="000000"/>
                <w:sz w:val="22"/>
                <w:szCs w:val="22"/>
                <w:lang w:eastAsia="en-GB"/>
              </w:rPr>
            </w:pPr>
            <w:r w:rsidRPr="00727F50">
              <w:rPr>
                <w:rFonts w:ascii="Arial" w:hAnsi="Arial" w:cs="Arial"/>
                <w:b/>
                <w:bCs/>
                <w:color w:val="000000"/>
                <w:sz w:val="22"/>
                <w:szCs w:val="22"/>
                <w:lang w:eastAsia="en-GB"/>
              </w:rPr>
              <w:t>(18,487,555)</w:t>
            </w:r>
          </w:p>
        </w:tc>
        <w:tc>
          <w:tcPr>
            <w:tcW w:w="322" w:type="dxa"/>
            <w:tcBorders>
              <w:top w:val="single" w:sz="8" w:space="0" w:color="auto"/>
              <w:left w:val="nil"/>
              <w:bottom w:val="single" w:sz="8" w:space="0" w:color="auto"/>
              <w:right w:val="nil"/>
            </w:tcBorders>
            <w:shd w:val="clear" w:color="auto" w:fill="auto"/>
            <w:noWrap/>
            <w:vAlign w:val="center"/>
            <w:hideMark/>
          </w:tcPr>
          <w:p w:rsidR="00727F50" w:rsidRPr="00727F50" w:rsidRDefault="00727F50" w:rsidP="00727F50">
            <w:pPr>
              <w:rPr>
                <w:rFonts w:ascii="Arial" w:hAnsi="Arial" w:cs="Arial"/>
                <w:b/>
                <w:bCs/>
                <w:color w:val="000000"/>
                <w:sz w:val="22"/>
                <w:szCs w:val="22"/>
                <w:lang w:eastAsia="en-GB"/>
              </w:rPr>
            </w:pPr>
            <w:r w:rsidRPr="00727F50">
              <w:rPr>
                <w:rFonts w:ascii="Arial" w:hAnsi="Arial" w:cs="Arial"/>
                <w:b/>
                <w:bCs/>
                <w:color w:val="000000"/>
                <w:sz w:val="22"/>
                <w:szCs w:val="22"/>
                <w:lang w:eastAsia="en-GB"/>
              </w:rPr>
              <w:t> </w:t>
            </w:r>
          </w:p>
        </w:tc>
        <w:tc>
          <w:tcPr>
            <w:tcW w:w="4769" w:type="dxa"/>
            <w:tcBorders>
              <w:top w:val="single" w:sz="8" w:space="0" w:color="auto"/>
              <w:left w:val="nil"/>
              <w:bottom w:val="single" w:sz="8" w:space="0" w:color="auto"/>
              <w:right w:val="nil"/>
            </w:tcBorders>
            <w:shd w:val="clear" w:color="auto" w:fill="auto"/>
            <w:noWrap/>
            <w:vAlign w:val="center"/>
            <w:hideMark/>
          </w:tcPr>
          <w:p w:rsidR="00727F50" w:rsidRPr="00727F50" w:rsidRDefault="00727F50" w:rsidP="00727F50">
            <w:pPr>
              <w:rPr>
                <w:rFonts w:ascii="Arial" w:hAnsi="Arial" w:cs="Arial"/>
                <w:b/>
                <w:bCs/>
                <w:color w:val="000000"/>
                <w:sz w:val="22"/>
                <w:szCs w:val="22"/>
                <w:lang w:eastAsia="en-GB"/>
              </w:rPr>
            </w:pPr>
            <w:r w:rsidRPr="00727F50">
              <w:rPr>
                <w:rFonts w:ascii="Arial" w:hAnsi="Arial" w:cs="Arial"/>
                <w:b/>
                <w:bCs/>
                <w:color w:val="000000"/>
                <w:sz w:val="22"/>
                <w:szCs w:val="22"/>
                <w:lang w:eastAsia="en-GB"/>
              </w:rPr>
              <w:t> </w:t>
            </w:r>
          </w:p>
        </w:tc>
        <w:tc>
          <w:tcPr>
            <w:tcW w:w="760" w:type="dxa"/>
            <w:tcBorders>
              <w:top w:val="single" w:sz="8" w:space="0" w:color="auto"/>
              <w:left w:val="nil"/>
              <w:bottom w:val="single" w:sz="8" w:space="0" w:color="auto"/>
              <w:right w:val="nil"/>
            </w:tcBorders>
            <w:shd w:val="clear" w:color="auto" w:fill="auto"/>
            <w:noWrap/>
            <w:vAlign w:val="center"/>
            <w:hideMark/>
          </w:tcPr>
          <w:p w:rsidR="00727F50" w:rsidRPr="00727F50" w:rsidRDefault="00727F50" w:rsidP="00727F50">
            <w:pPr>
              <w:rPr>
                <w:rFonts w:ascii="Arial" w:hAnsi="Arial" w:cs="Arial"/>
                <w:b/>
                <w:bCs/>
                <w:color w:val="000000"/>
                <w:sz w:val="22"/>
                <w:szCs w:val="22"/>
                <w:lang w:eastAsia="en-GB"/>
              </w:rPr>
            </w:pPr>
            <w:r w:rsidRPr="00727F50">
              <w:rPr>
                <w:rFonts w:ascii="Arial" w:hAnsi="Arial" w:cs="Arial"/>
                <w:b/>
                <w:bCs/>
                <w:color w:val="000000"/>
                <w:sz w:val="22"/>
                <w:szCs w:val="22"/>
                <w:lang w:eastAsia="en-GB"/>
              </w:rPr>
              <w:t> </w:t>
            </w:r>
          </w:p>
        </w:tc>
        <w:tc>
          <w:tcPr>
            <w:tcW w:w="300" w:type="dxa"/>
            <w:tcBorders>
              <w:top w:val="single" w:sz="8" w:space="0" w:color="auto"/>
              <w:left w:val="nil"/>
              <w:bottom w:val="single" w:sz="8" w:space="0" w:color="auto"/>
              <w:right w:val="nil"/>
            </w:tcBorders>
            <w:shd w:val="clear" w:color="auto" w:fill="auto"/>
            <w:noWrap/>
            <w:vAlign w:val="center"/>
            <w:hideMark/>
          </w:tcPr>
          <w:p w:rsidR="00727F50" w:rsidRPr="00727F50" w:rsidRDefault="00727F50" w:rsidP="00727F50">
            <w:pPr>
              <w:rPr>
                <w:rFonts w:ascii="Arial" w:hAnsi="Arial" w:cs="Arial"/>
                <w:b/>
                <w:bCs/>
                <w:color w:val="000000"/>
                <w:sz w:val="22"/>
                <w:szCs w:val="22"/>
                <w:lang w:eastAsia="en-GB"/>
              </w:rPr>
            </w:pPr>
            <w:r w:rsidRPr="00727F50">
              <w:rPr>
                <w:rFonts w:ascii="Arial" w:hAnsi="Arial" w:cs="Arial"/>
                <w:b/>
                <w:bCs/>
                <w:color w:val="000000"/>
                <w:sz w:val="22"/>
                <w:szCs w:val="22"/>
                <w:lang w:eastAsia="en-GB"/>
              </w:rPr>
              <w:t> </w:t>
            </w:r>
          </w:p>
        </w:tc>
        <w:tc>
          <w:tcPr>
            <w:tcW w:w="1604" w:type="dxa"/>
            <w:tcBorders>
              <w:top w:val="single" w:sz="8" w:space="0" w:color="auto"/>
              <w:left w:val="nil"/>
              <w:bottom w:val="single" w:sz="8" w:space="0" w:color="auto"/>
              <w:right w:val="nil"/>
            </w:tcBorders>
            <w:shd w:val="clear" w:color="auto" w:fill="auto"/>
            <w:noWrap/>
            <w:vAlign w:val="center"/>
            <w:hideMark/>
          </w:tcPr>
          <w:p w:rsidR="00727F50" w:rsidRPr="00727F50" w:rsidRDefault="00727F50" w:rsidP="00727F50">
            <w:pPr>
              <w:jc w:val="right"/>
              <w:rPr>
                <w:rFonts w:ascii="Arial" w:hAnsi="Arial" w:cs="Arial"/>
                <w:b/>
                <w:bCs/>
                <w:color w:val="000000"/>
                <w:sz w:val="22"/>
                <w:szCs w:val="22"/>
                <w:lang w:eastAsia="en-GB"/>
              </w:rPr>
            </w:pPr>
            <w:r w:rsidRPr="00727F50">
              <w:rPr>
                <w:rFonts w:ascii="Arial" w:hAnsi="Arial" w:cs="Arial"/>
                <w:b/>
                <w:bCs/>
                <w:color w:val="000000"/>
                <w:sz w:val="22"/>
                <w:szCs w:val="22"/>
                <w:lang w:eastAsia="en-GB"/>
              </w:rPr>
              <w:t>(20,184,589)</w:t>
            </w:r>
          </w:p>
        </w:tc>
        <w:tc>
          <w:tcPr>
            <w:tcW w:w="300" w:type="dxa"/>
            <w:tcBorders>
              <w:top w:val="nil"/>
              <w:left w:val="nil"/>
              <w:bottom w:val="nil"/>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r w:rsidR="00727F50" w:rsidRPr="00727F50" w:rsidTr="00727F50">
        <w:trPr>
          <w:trHeight w:val="98"/>
          <w:jc w:val="center"/>
        </w:trPr>
        <w:tc>
          <w:tcPr>
            <w:tcW w:w="300" w:type="dxa"/>
            <w:tcBorders>
              <w:top w:val="nil"/>
              <w:left w:val="single" w:sz="4" w:space="0" w:color="auto"/>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322" w:type="dxa"/>
            <w:tcBorders>
              <w:top w:val="nil"/>
              <w:left w:val="nil"/>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4769" w:type="dxa"/>
            <w:tcBorders>
              <w:top w:val="nil"/>
              <w:left w:val="nil"/>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760" w:type="dxa"/>
            <w:tcBorders>
              <w:top w:val="nil"/>
              <w:left w:val="nil"/>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300" w:type="dxa"/>
            <w:tcBorders>
              <w:top w:val="nil"/>
              <w:left w:val="nil"/>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1604" w:type="dxa"/>
            <w:tcBorders>
              <w:top w:val="nil"/>
              <w:left w:val="nil"/>
              <w:bottom w:val="single" w:sz="4" w:space="0" w:color="auto"/>
              <w:right w:val="nil"/>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rsidR="00727F50" w:rsidRPr="00727F50" w:rsidRDefault="00727F50" w:rsidP="00727F50">
            <w:pPr>
              <w:rPr>
                <w:rFonts w:ascii="Arial" w:hAnsi="Arial" w:cs="Arial"/>
                <w:color w:val="000000"/>
                <w:sz w:val="22"/>
                <w:szCs w:val="22"/>
                <w:lang w:eastAsia="en-GB"/>
              </w:rPr>
            </w:pPr>
            <w:r w:rsidRPr="00727F50">
              <w:rPr>
                <w:rFonts w:ascii="Arial" w:hAnsi="Arial" w:cs="Arial"/>
                <w:color w:val="000000"/>
                <w:sz w:val="22"/>
                <w:szCs w:val="22"/>
                <w:lang w:eastAsia="en-GB"/>
              </w:rPr>
              <w:t> </w:t>
            </w:r>
          </w:p>
        </w:tc>
      </w:tr>
    </w:tbl>
    <w:p w:rsidR="00B41D7A" w:rsidRDefault="00B41D7A">
      <w:pPr>
        <w:rPr>
          <w:rFonts w:ascii="Arial" w:hAnsi="Arial" w:cs="Arial"/>
          <w:bCs/>
          <w:sz w:val="22"/>
        </w:rPr>
      </w:pPr>
    </w:p>
    <w:p w:rsidR="00F23FFF" w:rsidRDefault="003552BC">
      <w:pPr>
        <w:pStyle w:val="xl81"/>
        <w:tabs>
          <w:tab w:val="left" w:pos="567"/>
        </w:tabs>
        <w:spacing w:before="0" w:beforeAutospacing="0" w:after="0" w:afterAutospacing="0"/>
        <w:rPr>
          <w:rFonts w:eastAsia="Times New Roman"/>
          <w:b/>
          <w:color w:val="000080"/>
          <w:sz w:val="24"/>
          <w:szCs w:val="20"/>
        </w:rPr>
      </w:pPr>
      <w:r>
        <w:rPr>
          <w:rFonts w:eastAsia="Times New Roman"/>
          <w:b/>
          <w:color w:val="000080"/>
          <w:sz w:val="24"/>
          <w:szCs w:val="20"/>
        </w:rPr>
        <w:t xml:space="preserve">10    Material items of income and expenditure </w:t>
      </w:r>
    </w:p>
    <w:p w:rsidR="00F23FFF" w:rsidRDefault="00F23FFF">
      <w:pPr>
        <w:pStyle w:val="xl81"/>
        <w:spacing w:before="0" w:beforeAutospacing="0" w:after="0" w:afterAutospacing="0"/>
        <w:rPr>
          <w:rFonts w:eastAsia="Times New Roman"/>
          <w:b/>
          <w:color w:val="000080"/>
          <w:sz w:val="24"/>
          <w:szCs w:val="20"/>
        </w:rPr>
      </w:pPr>
    </w:p>
    <w:p w:rsidR="00F23FFF" w:rsidRDefault="00F23FFF">
      <w:pPr>
        <w:pStyle w:val="xl81"/>
        <w:spacing w:before="0" w:beforeAutospacing="0" w:after="0" w:afterAutospacing="0"/>
        <w:rPr>
          <w:rFonts w:eastAsia="Times New Roman"/>
          <w:b/>
          <w:color w:val="000080"/>
          <w:sz w:val="24"/>
          <w:szCs w:val="20"/>
        </w:rPr>
      </w:pPr>
    </w:p>
    <w:p w:rsidR="00F23FFF" w:rsidRDefault="00F45917" w:rsidP="00971FEF">
      <w:pPr>
        <w:pStyle w:val="xl81"/>
        <w:spacing w:before="0" w:beforeAutospacing="0" w:after="0" w:afterAutospacing="0"/>
        <w:ind w:left="567"/>
        <w:rPr>
          <w:rFonts w:eastAsia="Times New Roman"/>
          <w:bCs/>
          <w:color w:val="auto"/>
          <w:szCs w:val="20"/>
        </w:rPr>
      </w:pPr>
      <w:r>
        <w:rPr>
          <w:rFonts w:eastAsia="Times New Roman"/>
          <w:bCs/>
          <w:color w:val="auto"/>
          <w:szCs w:val="20"/>
        </w:rPr>
        <w:t>The</w:t>
      </w:r>
      <w:r w:rsidR="00A1143B">
        <w:rPr>
          <w:rFonts w:eastAsia="Times New Roman"/>
          <w:bCs/>
          <w:color w:val="auto"/>
          <w:szCs w:val="20"/>
        </w:rPr>
        <w:t>re are no</w:t>
      </w:r>
      <w:r>
        <w:rPr>
          <w:rFonts w:eastAsia="Times New Roman"/>
          <w:bCs/>
          <w:color w:val="auto"/>
          <w:szCs w:val="20"/>
        </w:rPr>
        <w:t xml:space="preserve"> material item</w:t>
      </w:r>
      <w:r w:rsidR="00A1143B">
        <w:rPr>
          <w:rFonts w:eastAsia="Times New Roman"/>
          <w:bCs/>
          <w:color w:val="auto"/>
          <w:szCs w:val="20"/>
        </w:rPr>
        <w:t>s</w:t>
      </w:r>
      <w:r w:rsidR="003552BC">
        <w:rPr>
          <w:rFonts w:eastAsia="Times New Roman"/>
          <w:bCs/>
          <w:color w:val="auto"/>
          <w:szCs w:val="20"/>
        </w:rPr>
        <w:t xml:space="preserve"> in the comprehensive income and expenditure statement </w:t>
      </w:r>
      <w:r w:rsidR="00262BEA">
        <w:rPr>
          <w:rFonts w:eastAsia="Times New Roman"/>
          <w:bCs/>
          <w:color w:val="auto"/>
          <w:szCs w:val="20"/>
        </w:rPr>
        <w:t>in 201</w:t>
      </w:r>
      <w:r w:rsidR="0053390C">
        <w:rPr>
          <w:rFonts w:eastAsia="Times New Roman"/>
          <w:bCs/>
          <w:color w:val="auto"/>
          <w:szCs w:val="20"/>
        </w:rPr>
        <w:t>3</w:t>
      </w:r>
      <w:r w:rsidR="00262BEA">
        <w:rPr>
          <w:rFonts w:eastAsia="Times New Roman"/>
          <w:bCs/>
          <w:color w:val="auto"/>
          <w:szCs w:val="20"/>
        </w:rPr>
        <w:t>-1</w:t>
      </w:r>
      <w:r w:rsidR="0053390C">
        <w:rPr>
          <w:rFonts w:eastAsia="Times New Roman"/>
          <w:bCs/>
          <w:color w:val="auto"/>
          <w:szCs w:val="20"/>
        </w:rPr>
        <w:t>4</w:t>
      </w:r>
      <w:r w:rsidR="00FE52CC">
        <w:rPr>
          <w:rFonts w:eastAsia="Times New Roman"/>
          <w:bCs/>
          <w:color w:val="auto"/>
          <w:szCs w:val="20"/>
        </w:rPr>
        <w:t xml:space="preserve"> outside the normal course of business</w:t>
      </w:r>
      <w:r w:rsidR="0053390C">
        <w:rPr>
          <w:rFonts w:eastAsia="Times New Roman"/>
          <w:bCs/>
          <w:color w:val="auto"/>
          <w:szCs w:val="20"/>
        </w:rPr>
        <w:t>.</w:t>
      </w:r>
    </w:p>
    <w:p w:rsidR="008C7F38" w:rsidRDefault="008C7F38">
      <w:pPr>
        <w:pStyle w:val="xl81"/>
        <w:spacing w:before="0" w:beforeAutospacing="0" w:after="0" w:afterAutospacing="0"/>
        <w:rPr>
          <w:rFonts w:eastAsia="Times New Roman"/>
          <w:bCs/>
          <w:color w:val="auto"/>
          <w:szCs w:val="20"/>
        </w:rPr>
      </w:pPr>
    </w:p>
    <w:p w:rsidR="0053390C" w:rsidRDefault="0053390C">
      <w:pPr>
        <w:pStyle w:val="xl81"/>
        <w:spacing w:before="0" w:beforeAutospacing="0" w:after="0" w:afterAutospacing="0"/>
        <w:rPr>
          <w:rFonts w:eastAsia="Times New Roman"/>
          <w:b/>
          <w:color w:val="000080"/>
          <w:sz w:val="24"/>
          <w:szCs w:val="20"/>
        </w:rPr>
      </w:pPr>
    </w:p>
    <w:p w:rsidR="00F23FFF" w:rsidRDefault="00F23FFF">
      <w:pPr>
        <w:rPr>
          <w:rFonts w:ascii="Arial" w:hAnsi="Arial" w:cs="Arial"/>
          <w:bCs/>
          <w:sz w:val="22"/>
        </w:rPr>
      </w:pPr>
    </w:p>
    <w:p w:rsidR="00F23FFF" w:rsidRDefault="003552BC">
      <w:pPr>
        <w:pStyle w:val="xl50"/>
        <w:spacing w:before="0" w:beforeAutospacing="0" w:after="0" w:afterAutospacing="0"/>
        <w:rPr>
          <w:rFonts w:eastAsia="Times New Roman"/>
          <w:bCs w:val="0"/>
          <w:szCs w:val="20"/>
        </w:rPr>
      </w:pPr>
      <w:r>
        <w:rPr>
          <w:rFonts w:eastAsia="Times New Roman"/>
          <w:bCs w:val="0"/>
          <w:szCs w:val="20"/>
        </w:rPr>
        <w:t xml:space="preserve">11    Usable Reserves </w:t>
      </w:r>
    </w:p>
    <w:p w:rsidR="00F23FFF" w:rsidRDefault="003552BC">
      <w:pPr>
        <w:rPr>
          <w:rFonts w:ascii="Arial" w:hAnsi="Arial" w:cs="Arial"/>
          <w:bCs/>
          <w:sz w:val="22"/>
        </w:rPr>
      </w:pPr>
      <w:r>
        <w:rPr>
          <w:rFonts w:ascii="Arial" w:hAnsi="Arial" w:cs="Arial"/>
          <w:bCs/>
          <w:sz w:val="22"/>
        </w:rPr>
        <w:t xml:space="preserve">         </w:t>
      </w:r>
    </w:p>
    <w:p w:rsidR="00F23FFF" w:rsidRDefault="003552BC" w:rsidP="008C7F38">
      <w:pPr>
        <w:ind w:left="567" w:hanging="567"/>
        <w:rPr>
          <w:rFonts w:ascii="Arial" w:hAnsi="Arial" w:cs="Arial"/>
          <w:bCs/>
          <w:sz w:val="22"/>
        </w:rPr>
      </w:pPr>
      <w:r>
        <w:rPr>
          <w:rFonts w:ascii="Arial" w:hAnsi="Arial" w:cs="Arial"/>
          <w:bCs/>
          <w:sz w:val="22"/>
        </w:rPr>
        <w:t xml:space="preserve">         Movements in the Authority’s usable reserves are detailed in the Movement in Reserves Statement and notes 5 and 6.</w:t>
      </w:r>
    </w:p>
    <w:p w:rsidR="00F23FFF" w:rsidRDefault="003552BC">
      <w:pPr>
        <w:rPr>
          <w:rFonts w:ascii="Arial" w:hAnsi="Arial" w:cs="Arial"/>
          <w:bCs/>
          <w:sz w:val="22"/>
        </w:rPr>
      </w:pPr>
      <w:r>
        <w:rPr>
          <w:rFonts w:ascii="Arial" w:hAnsi="Arial" w:cs="Arial"/>
          <w:bCs/>
          <w:sz w:val="22"/>
        </w:rPr>
        <w:tab/>
      </w:r>
    </w:p>
    <w:p w:rsidR="004B00AD" w:rsidRDefault="004B00AD">
      <w:pPr>
        <w:rPr>
          <w:rFonts w:ascii="Arial" w:hAnsi="Arial" w:cs="Arial"/>
          <w:bCs/>
          <w:sz w:val="22"/>
        </w:rPr>
      </w:pPr>
    </w:p>
    <w:tbl>
      <w:tblPr>
        <w:tblW w:w="9010" w:type="dxa"/>
        <w:jc w:val="center"/>
        <w:tblInd w:w="93" w:type="dxa"/>
        <w:tblLook w:val="04A0" w:firstRow="1" w:lastRow="0" w:firstColumn="1" w:lastColumn="0" w:noHBand="0" w:noVBand="1"/>
      </w:tblPr>
      <w:tblGrid>
        <w:gridCol w:w="282"/>
        <w:gridCol w:w="1464"/>
        <w:gridCol w:w="282"/>
        <w:gridCol w:w="4583"/>
        <w:gridCol w:w="705"/>
        <w:gridCol w:w="1464"/>
        <w:gridCol w:w="282"/>
      </w:tblGrid>
      <w:tr w:rsidR="00605EDF" w:rsidRPr="00605EDF" w:rsidTr="00605EDF">
        <w:trPr>
          <w:trHeight w:val="166"/>
          <w:jc w:val="center"/>
        </w:trPr>
        <w:tc>
          <w:tcPr>
            <w:tcW w:w="282" w:type="dxa"/>
            <w:tcBorders>
              <w:top w:val="single" w:sz="4" w:space="0" w:color="auto"/>
              <w:left w:val="single" w:sz="4" w:space="0" w:color="auto"/>
              <w:bottom w:val="nil"/>
              <w:right w:val="nil"/>
            </w:tcBorders>
            <w:shd w:val="clear" w:color="auto" w:fill="auto"/>
            <w:noWrap/>
            <w:vAlign w:val="bottom"/>
            <w:hideMark/>
          </w:tcPr>
          <w:p w:rsidR="00605EDF" w:rsidRPr="00605EDF" w:rsidRDefault="00605EDF" w:rsidP="00605EDF">
            <w:pPr>
              <w:jc w:val="center"/>
              <w:rPr>
                <w:rFonts w:ascii="Arial" w:hAnsi="Arial" w:cs="Arial"/>
                <w:color w:val="000000"/>
                <w:sz w:val="22"/>
                <w:szCs w:val="22"/>
                <w:lang w:eastAsia="en-GB"/>
              </w:rPr>
            </w:pPr>
          </w:p>
        </w:tc>
        <w:tc>
          <w:tcPr>
            <w:tcW w:w="1441" w:type="dxa"/>
            <w:tcBorders>
              <w:top w:val="single" w:sz="4" w:space="0" w:color="auto"/>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282" w:type="dxa"/>
            <w:tcBorders>
              <w:top w:val="single" w:sz="4" w:space="0" w:color="auto"/>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4583" w:type="dxa"/>
            <w:tcBorders>
              <w:top w:val="single" w:sz="4" w:space="0" w:color="auto"/>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699" w:type="dxa"/>
            <w:tcBorders>
              <w:top w:val="single" w:sz="4" w:space="0" w:color="auto"/>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single" w:sz="4" w:space="0" w:color="auto"/>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282" w:type="dxa"/>
            <w:tcBorders>
              <w:top w:val="single" w:sz="4" w:space="0" w:color="auto"/>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302"/>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2012-13</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2013-14</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31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single" w:sz="8" w:space="0" w:color="auto"/>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w:t>
            </w:r>
          </w:p>
        </w:tc>
        <w:tc>
          <w:tcPr>
            <w:tcW w:w="282" w:type="dxa"/>
            <w:tcBorders>
              <w:top w:val="nil"/>
              <w:left w:val="nil"/>
              <w:bottom w:val="single" w:sz="8" w:space="0" w:color="auto"/>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 </w:t>
            </w:r>
          </w:p>
        </w:tc>
        <w:tc>
          <w:tcPr>
            <w:tcW w:w="4583" w:type="dxa"/>
            <w:tcBorders>
              <w:top w:val="nil"/>
              <w:left w:val="nil"/>
              <w:bottom w:val="single" w:sz="8" w:space="0" w:color="auto"/>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 </w:t>
            </w:r>
          </w:p>
        </w:tc>
        <w:tc>
          <w:tcPr>
            <w:tcW w:w="699" w:type="dxa"/>
            <w:tcBorders>
              <w:top w:val="nil"/>
              <w:left w:val="nil"/>
              <w:bottom w:val="single" w:sz="8" w:space="0" w:color="auto"/>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Note</w:t>
            </w:r>
          </w:p>
        </w:tc>
        <w:tc>
          <w:tcPr>
            <w:tcW w:w="1441" w:type="dxa"/>
            <w:tcBorders>
              <w:top w:val="nil"/>
              <w:left w:val="nil"/>
              <w:bottom w:val="single" w:sz="8" w:space="0" w:color="auto"/>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28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28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(2,732,216)</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center"/>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Usable Capital Receipts Reserve</w:t>
            </w: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(3,568,492)</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302"/>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(3,038,958)</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center"/>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Earmarked Reserve-General fund</w:t>
            </w:r>
          </w:p>
        </w:tc>
        <w:tc>
          <w:tcPr>
            <w:tcW w:w="699" w:type="dxa"/>
            <w:tcBorders>
              <w:top w:val="nil"/>
              <w:left w:val="nil"/>
              <w:bottom w:val="nil"/>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6</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(4,148,538)</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302"/>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(4,500,000)</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center"/>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Earmarked Reserve-Housing Revenue Account</w:t>
            </w:r>
          </w:p>
        </w:tc>
        <w:tc>
          <w:tcPr>
            <w:tcW w:w="699" w:type="dxa"/>
            <w:tcBorders>
              <w:top w:val="nil"/>
              <w:left w:val="nil"/>
              <w:bottom w:val="nil"/>
              <w:right w:val="nil"/>
            </w:tcBorders>
            <w:shd w:val="clear" w:color="auto" w:fill="auto"/>
            <w:noWrap/>
            <w:vAlign w:val="center"/>
            <w:hideMark/>
          </w:tcPr>
          <w:p w:rsidR="00605EDF" w:rsidRPr="00605EDF" w:rsidRDefault="00605EDF" w:rsidP="00605EDF">
            <w:pPr>
              <w:jc w:val="center"/>
              <w:rPr>
                <w:rFonts w:ascii="Arial" w:hAnsi="Arial" w:cs="Arial"/>
                <w:b/>
                <w:bCs/>
                <w:color w:val="000000"/>
                <w:sz w:val="22"/>
                <w:szCs w:val="22"/>
                <w:lang w:eastAsia="en-GB"/>
              </w:rPr>
            </w:pPr>
            <w:r w:rsidRPr="00605EDF">
              <w:rPr>
                <w:rFonts w:ascii="Arial" w:hAnsi="Arial" w:cs="Arial"/>
                <w:b/>
                <w:bCs/>
                <w:color w:val="000000"/>
                <w:sz w:val="22"/>
                <w:szCs w:val="22"/>
                <w:lang w:eastAsia="en-GB"/>
              </w:rPr>
              <w:t>46</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(8,500,000)</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28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(590,128)</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center"/>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Capital Grants Unapplied</w:t>
            </w: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(584,180)</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28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(7,484,988)</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center"/>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General Fund</w:t>
            </w: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(11,187,536)</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28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(2,427,475)</w:t>
            </w: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center"/>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Housing Revenue Account</w:t>
            </w: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bottom"/>
            <w:hideMark/>
          </w:tcPr>
          <w:p w:rsidR="00605EDF" w:rsidRPr="00605EDF" w:rsidRDefault="00605EDF" w:rsidP="00605EDF">
            <w:pPr>
              <w:jc w:val="right"/>
              <w:rPr>
                <w:rFonts w:ascii="Arial" w:hAnsi="Arial" w:cs="Arial"/>
                <w:color w:val="000000"/>
                <w:sz w:val="22"/>
                <w:szCs w:val="22"/>
                <w:lang w:eastAsia="en-GB"/>
              </w:rPr>
            </w:pPr>
            <w:r w:rsidRPr="00605EDF">
              <w:rPr>
                <w:rFonts w:ascii="Arial" w:hAnsi="Arial" w:cs="Arial"/>
                <w:color w:val="000000"/>
                <w:sz w:val="22"/>
                <w:szCs w:val="22"/>
                <w:lang w:eastAsia="en-GB"/>
              </w:rPr>
              <w:t>(2,492,614)</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302"/>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282"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4583"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699"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1441" w:type="dxa"/>
            <w:tcBorders>
              <w:top w:val="nil"/>
              <w:left w:val="nil"/>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317"/>
          <w:jc w:val="center"/>
        </w:trPr>
        <w:tc>
          <w:tcPr>
            <w:tcW w:w="282" w:type="dxa"/>
            <w:tcBorders>
              <w:top w:val="nil"/>
              <w:left w:val="single" w:sz="4" w:space="0" w:color="auto"/>
              <w:bottom w:val="nil"/>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single" w:sz="8" w:space="0" w:color="auto"/>
              <w:left w:val="nil"/>
              <w:bottom w:val="single" w:sz="8" w:space="0" w:color="auto"/>
              <w:right w:val="nil"/>
            </w:tcBorders>
            <w:shd w:val="clear" w:color="auto" w:fill="auto"/>
            <w:noWrap/>
            <w:vAlign w:val="center"/>
            <w:hideMark/>
          </w:tcPr>
          <w:p w:rsidR="00605EDF" w:rsidRPr="00605EDF" w:rsidRDefault="00605EDF" w:rsidP="00605EDF">
            <w:pPr>
              <w:jc w:val="right"/>
              <w:rPr>
                <w:rFonts w:ascii="Arial" w:hAnsi="Arial" w:cs="Arial"/>
                <w:b/>
                <w:bCs/>
                <w:color w:val="000000"/>
                <w:sz w:val="22"/>
                <w:szCs w:val="22"/>
                <w:lang w:eastAsia="en-GB"/>
              </w:rPr>
            </w:pPr>
            <w:r w:rsidRPr="00605EDF">
              <w:rPr>
                <w:rFonts w:ascii="Arial" w:hAnsi="Arial" w:cs="Arial"/>
                <w:b/>
                <w:bCs/>
                <w:color w:val="000000"/>
                <w:sz w:val="22"/>
                <w:szCs w:val="22"/>
                <w:lang w:eastAsia="en-GB"/>
              </w:rPr>
              <w:t>(20,773,765)</w:t>
            </w:r>
          </w:p>
        </w:tc>
        <w:tc>
          <w:tcPr>
            <w:tcW w:w="282" w:type="dxa"/>
            <w:tcBorders>
              <w:top w:val="single" w:sz="8" w:space="0" w:color="auto"/>
              <w:left w:val="nil"/>
              <w:bottom w:val="single" w:sz="8" w:space="0" w:color="auto"/>
              <w:right w:val="nil"/>
            </w:tcBorders>
            <w:shd w:val="clear" w:color="auto" w:fill="auto"/>
            <w:noWrap/>
            <w:vAlign w:val="center"/>
            <w:hideMark/>
          </w:tcPr>
          <w:p w:rsidR="00605EDF" w:rsidRPr="00605EDF" w:rsidRDefault="00605EDF" w:rsidP="00605EDF">
            <w:pPr>
              <w:rPr>
                <w:rFonts w:ascii="Arial" w:hAnsi="Arial" w:cs="Arial"/>
                <w:b/>
                <w:bCs/>
                <w:color w:val="000000"/>
                <w:sz w:val="22"/>
                <w:szCs w:val="22"/>
                <w:lang w:eastAsia="en-GB"/>
              </w:rPr>
            </w:pPr>
            <w:r w:rsidRPr="00605EDF">
              <w:rPr>
                <w:rFonts w:ascii="Arial" w:hAnsi="Arial" w:cs="Arial"/>
                <w:b/>
                <w:bCs/>
                <w:color w:val="000000"/>
                <w:sz w:val="22"/>
                <w:szCs w:val="22"/>
                <w:lang w:eastAsia="en-GB"/>
              </w:rPr>
              <w:t> </w:t>
            </w:r>
          </w:p>
        </w:tc>
        <w:tc>
          <w:tcPr>
            <w:tcW w:w="4583" w:type="dxa"/>
            <w:tcBorders>
              <w:top w:val="single" w:sz="8" w:space="0" w:color="auto"/>
              <w:left w:val="nil"/>
              <w:bottom w:val="single" w:sz="8" w:space="0" w:color="auto"/>
              <w:right w:val="nil"/>
            </w:tcBorders>
            <w:shd w:val="clear" w:color="auto" w:fill="auto"/>
            <w:noWrap/>
            <w:vAlign w:val="center"/>
            <w:hideMark/>
          </w:tcPr>
          <w:p w:rsidR="00605EDF" w:rsidRPr="00605EDF" w:rsidRDefault="00605EDF" w:rsidP="00605EDF">
            <w:pPr>
              <w:rPr>
                <w:rFonts w:ascii="Arial" w:hAnsi="Arial" w:cs="Arial"/>
                <w:b/>
                <w:bCs/>
                <w:color w:val="000000"/>
                <w:sz w:val="22"/>
                <w:szCs w:val="22"/>
                <w:lang w:eastAsia="en-GB"/>
              </w:rPr>
            </w:pPr>
            <w:r w:rsidRPr="00605EDF">
              <w:rPr>
                <w:rFonts w:ascii="Arial" w:hAnsi="Arial" w:cs="Arial"/>
                <w:b/>
                <w:bCs/>
                <w:color w:val="000000"/>
                <w:sz w:val="22"/>
                <w:szCs w:val="22"/>
                <w:lang w:eastAsia="en-GB"/>
              </w:rPr>
              <w:t> </w:t>
            </w:r>
          </w:p>
        </w:tc>
        <w:tc>
          <w:tcPr>
            <w:tcW w:w="699" w:type="dxa"/>
            <w:tcBorders>
              <w:top w:val="single" w:sz="8" w:space="0" w:color="auto"/>
              <w:left w:val="nil"/>
              <w:bottom w:val="single" w:sz="8" w:space="0" w:color="auto"/>
              <w:right w:val="nil"/>
            </w:tcBorders>
            <w:shd w:val="clear" w:color="auto" w:fill="auto"/>
            <w:noWrap/>
            <w:vAlign w:val="center"/>
            <w:hideMark/>
          </w:tcPr>
          <w:p w:rsidR="00605EDF" w:rsidRPr="00605EDF" w:rsidRDefault="00605EDF" w:rsidP="00605EDF">
            <w:pPr>
              <w:rPr>
                <w:rFonts w:ascii="Arial" w:hAnsi="Arial" w:cs="Arial"/>
                <w:b/>
                <w:bCs/>
                <w:color w:val="000000"/>
                <w:sz w:val="22"/>
                <w:szCs w:val="22"/>
                <w:lang w:eastAsia="en-GB"/>
              </w:rPr>
            </w:pPr>
            <w:r w:rsidRPr="00605EDF">
              <w:rPr>
                <w:rFonts w:ascii="Arial" w:hAnsi="Arial" w:cs="Arial"/>
                <w:b/>
                <w:bCs/>
                <w:color w:val="000000"/>
                <w:sz w:val="22"/>
                <w:szCs w:val="22"/>
                <w:lang w:eastAsia="en-GB"/>
              </w:rPr>
              <w:t> </w:t>
            </w:r>
          </w:p>
        </w:tc>
        <w:tc>
          <w:tcPr>
            <w:tcW w:w="1441" w:type="dxa"/>
            <w:tcBorders>
              <w:top w:val="single" w:sz="8" w:space="0" w:color="auto"/>
              <w:left w:val="nil"/>
              <w:bottom w:val="single" w:sz="8" w:space="0" w:color="auto"/>
              <w:right w:val="nil"/>
            </w:tcBorders>
            <w:shd w:val="clear" w:color="auto" w:fill="auto"/>
            <w:noWrap/>
            <w:vAlign w:val="center"/>
            <w:hideMark/>
          </w:tcPr>
          <w:p w:rsidR="00605EDF" w:rsidRPr="00605EDF" w:rsidRDefault="00605EDF" w:rsidP="00605EDF">
            <w:pPr>
              <w:jc w:val="right"/>
              <w:rPr>
                <w:rFonts w:ascii="Arial" w:hAnsi="Arial" w:cs="Arial"/>
                <w:b/>
                <w:bCs/>
                <w:color w:val="000000"/>
                <w:sz w:val="22"/>
                <w:szCs w:val="22"/>
                <w:lang w:eastAsia="en-GB"/>
              </w:rPr>
            </w:pPr>
            <w:r w:rsidRPr="00605EDF">
              <w:rPr>
                <w:rFonts w:ascii="Arial" w:hAnsi="Arial" w:cs="Arial"/>
                <w:b/>
                <w:bCs/>
                <w:color w:val="000000"/>
                <w:sz w:val="22"/>
                <w:szCs w:val="22"/>
                <w:lang w:eastAsia="en-GB"/>
              </w:rPr>
              <w:t>(30,481,360)</w:t>
            </w:r>
          </w:p>
        </w:tc>
        <w:tc>
          <w:tcPr>
            <w:tcW w:w="282" w:type="dxa"/>
            <w:tcBorders>
              <w:top w:val="nil"/>
              <w:left w:val="nil"/>
              <w:bottom w:val="nil"/>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r w:rsidR="00605EDF" w:rsidRPr="00605EDF" w:rsidTr="00605EDF">
        <w:trPr>
          <w:trHeight w:val="121"/>
          <w:jc w:val="center"/>
        </w:trPr>
        <w:tc>
          <w:tcPr>
            <w:tcW w:w="282" w:type="dxa"/>
            <w:tcBorders>
              <w:top w:val="nil"/>
              <w:left w:val="single" w:sz="4" w:space="0" w:color="auto"/>
              <w:bottom w:val="single" w:sz="4" w:space="0" w:color="auto"/>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single" w:sz="4" w:space="0" w:color="auto"/>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282" w:type="dxa"/>
            <w:tcBorders>
              <w:top w:val="nil"/>
              <w:left w:val="nil"/>
              <w:bottom w:val="single" w:sz="4" w:space="0" w:color="auto"/>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4583" w:type="dxa"/>
            <w:tcBorders>
              <w:top w:val="nil"/>
              <w:left w:val="nil"/>
              <w:bottom w:val="single" w:sz="4" w:space="0" w:color="auto"/>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699" w:type="dxa"/>
            <w:tcBorders>
              <w:top w:val="nil"/>
              <w:left w:val="nil"/>
              <w:bottom w:val="single" w:sz="4" w:space="0" w:color="auto"/>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1441" w:type="dxa"/>
            <w:tcBorders>
              <w:top w:val="nil"/>
              <w:left w:val="nil"/>
              <w:bottom w:val="single" w:sz="4" w:space="0" w:color="auto"/>
              <w:right w:val="nil"/>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c>
          <w:tcPr>
            <w:tcW w:w="282" w:type="dxa"/>
            <w:tcBorders>
              <w:top w:val="nil"/>
              <w:left w:val="nil"/>
              <w:bottom w:val="single" w:sz="4" w:space="0" w:color="auto"/>
              <w:right w:val="single" w:sz="4" w:space="0" w:color="auto"/>
            </w:tcBorders>
            <w:shd w:val="clear" w:color="auto" w:fill="auto"/>
            <w:noWrap/>
            <w:vAlign w:val="bottom"/>
            <w:hideMark/>
          </w:tcPr>
          <w:p w:rsidR="00605EDF" w:rsidRPr="00605EDF" w:rsidRDefault="00605EDF" w:rsidP="00605EDF">
            <w:pPr>
              <w:rPr>
                <w:rFonts w:ascii="Arial" w:hAnsi="Arial" w:cs="Arial"/>
                <w:color w:val="000000"/>
                <w:sz w:val="22"/>
                <w:szCs w:val="22"/>
                <w:lang w:eastAsia="en-GB"/>
              </w:rPr>
            </w:pPr>
            <w:r w:rsidRPr="00605EDF">
              <w:rPr>
                <w:rFonts w:ascii="Arial" w:hAnsi="Arial" w:cs="Arial"/>
                <w:color w:val="000000"/>
                <w:sz w:val="22"/>
                <w:szCs w:val="22"/>
                <w:lang w:eastAsia="en-GB"/>
              </w:rPr>
              <w:t> </w:t>
            </w:r>
          </w:p>
        </w:tc>
      </w:tr>
    </w:tbl>
    <w:p w:rsidR="003A0475" w:rsidRDefault="003A0475">
      <w:pPr>
        <w:rPr>
          <w:rFonts w:ascii="Arial" w:hAnsi="Arial" w:cs="Arial"/>
          <w:bCs/>
          <w:color w:val="000080"/>
          <w:sz w:val="22"/>
        </w:rPr>
      </w:pPr>
    </w:p>
    <w:p w:rsidR="006802AC" w:rsidRDefault="006802AC">
      <w:pPr>
        <w:rPr>
          <w:rFonts w:ascii="Arial" w:hAnsi="Arial" w:cs="Arial"/>
          <w:bCs/>
          <w:color w:val="000080"/>
          <w:sz w:val="22"/>
        </w:rPr>
      </w:pPr>
    </w:p>
    <w:p w:rsidR="00F23FFF" w:rsidRDefault="0087194E">
      <w:pPr>
        <w:rPr>
          <w:rFonts w:ascii="Arial" w:hAnsi="Arial" w:cs="Arial"/>
          <w:bCs/>
          <w:color w:val="000080"/>
          <w:sz w:val="22"/>
        </w:rPr>
      </w:pPr>
      <w:r>
        <w:rPr>
          <w:rFonts w:ascii="Arial" w:hAnsi="Arial" w:cs="Arial"/>
          <w:bCs/>
          <w:color w:val="000080"/>
          <w:sz w:val="22"/>
        </w:rPr>
        <w:t xml:space="preserve">Usable </w:t>
      </w:r>
      <w:r w:rsidR="003552BC">
        <w:rPr>
          <w:rFonts w:ascii="Arial" w:hAnsi="Arial" w:cs="Arial"/>
          <w:bCs/>
          <w:color w:val="000080"/>
          <w:sz w:val="22"/>
        </w:rPr>
        <w:t>Capital Receipts Reserve</w:t>
      </w:r>
    </w:p>
    <w:p w:rsidR="003D6BFF" w:rsidRDefault="003D6BFF">
      <w:pPr>
        <w:rPr>
          <w:rFonts w:ascii="Arial" w:hAnsi="Arial" w:cs="Arial"/>
          <w:bCs/>
          <w:color w:val="000080"/>
          <w:sz w:val="22"/>
        </w:rPr>
      </w:pPr>
    </w:p>
    <w:p w:rsidR="004B00AD" w:rsidRPr="008C7F38" w:rsidRDefault="004B00AD">
      <w:pPr>
        <w:rPr>
          <w:rFonts w:ascii="Arial" w:hAnsi="Arial" w:cs="Arial"/>
          <w:bCs/>
          <w:color w:val="000080"/>
          <w:sz w:val="22"/>
        </w:rPr>
      </w:pPr>
    </w:p>
    <w:tbl>
      <w:tblPr>
        <w:tblW w:w="8994" w:type="dxa"/>
        <w:jc w:val="center"/>
        <w:tblInd w:w="93" w:type="dxa"/>
        <w:tblLook w:val="04A0" w:firstRow="1" w:lastRow="0" w:firstColumn="1" w:lastColumn="0" w:noHBand="0" w:noVBand="1"/>
      </w:tblPr>
      <w:tblGrid>
        <w:gridCol w:w="283"/>
        <w:gridCol w:w="1366"/>
        <w:gridCol w:w="428"/>
        <w:gridCol w:w="4920"/>
        <w:gridCol w:w="347"/>
        <w:gridCol w:w="1366"/>
        <w:gridCol w:w="284"/>
      </w:tblGrid>
      <w:tr w:rsidR="0053390C" w:rsidRPr="0053390C" w:rsidTr="0053390C">
        <w:trPr>
          <w:trHeight w:val="152"/>
          <w:jc w:val="center"/>
        </w:trPr>
        <w:tc>
          <w:tcPr>
            <w:tcW w:w="283" w:type="dxa"/>
            <w:tcBorders>
              <w:top w:val="single" w:sz="4" w:space="0" w:color="auto"/>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428"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4920"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347"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single" w:sz="4" w:space="0" w:color="auto"/>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284" w:type="dxa"/>
            <w:tcBorders>
              <w:top w:val="single" w:sz="4" w:space="0" w:color="auto"/>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303"/>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2012-13</w:t>
            </w: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2013-14</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318"/>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single" w:sz="8" w:space="0" w:color="auto"/>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w:t>
            </w:r>
          </w:p>
        </w:tc>
        <w:tc>
          <w:tcPr>
            <w:tcW w:w="428" w:type="dxa"/>
            <w:tcBorders>
              <w:top w:val="nil"/>
              <w:left w:val="nil"/>
              <w:bottom w:val="single" w:sz="8" w:space="0" w:color="auto"/>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4920" w:type="dxa"/>
            <w:tcBorders>
              <w:top w:val="nil"/>
              <w:left w:val="nil"/>
              <w:bottom w:val="single" w:sz="8" w:space="0" w:color="auto"/>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347" w:type="dxa"/>
            <w:tcBorders>
              <w:top w:val="nil"/>
              <w:left w:val="nil"/>
              <w:bottom w:val="single" w:sz="8" w:space="0" w:color="auto"/>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1366" w:type="dxa"/>
            <w:tcBorders>
              <w:top w:val="nil"/>
              <w:left w:val="nil"/>
              <w:bottom w:val="single" w:sz="8" w:space="0" w:color="auto"/>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r w:rsidRPr="0053390C">
              <w:rPr>
                <w:rFonts w:ascii="Arial" w:hAnsi="Arial" w:cs="Arial"/>
                <w:b/>
                <w:bCs/>
                <w:color w:val="000000"/>
                <w:sz w:val="22"/>
                <w:szCs w:val="22"/>
                <w:lang w:eastAsia="en-GB"/>
              </w:rPr>
              <w:t>£</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303"/>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p>
        </w:tc>
        <w:tc>
          <w:tcPr>
            <w:tcW w:w="428"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p>
        </w:tc>
        <w:tc>
          <w:tcPr>
            <w:tcW w:w="4920"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p>
        </w:tc>
        <w:tc>
          <w:tcPr>
            <w:tcW w:w="347"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p>
        </w:tc>
        <w:tc>
          <w:tcPr>
            <w:tcW w:w="1366" w:type="dxa"/>
            <w:tcBorders>
              <w:top w:val="nil"/>
              <w:left w:val="nil"/>
              <w:bottom w:val="nil"/>
              <w:right w:val="nil"/>
            </w:tcBorders>
            <w:shd w:val="clear" w:color="auto" w:fill="auto"/>
            <w:noWrap/>
            <w:vAlign w:val="center"/>
            <w:hideMark/>
          </w:tcPr>
          <w:p w:rsidR="0053390C" w:rsidRPr="0053390C" w:rsidRDefault="0053390C" w:rsidP="0053390C">
            <w:pPr>
              <w:jc w:val="center"/>
              <w:rPr>
                <w:rFonts w:ascii="Arial" w:hAnsi="Arial" w:cs="Arial"/>
                <w:b/>
                <w:bCs/>
                <w:color w:val="000000"/>
                <w:sz w:val="22"/>
                <w:szCs w:val="22"/>
                <w:lang w:eastAsia="en-GB"/>
              </w:rPr>
            </w:pP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303"/>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center"/>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(1,096,879)</w:t>
            </w: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Balance at 1 April</w:t>
            </w: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center"/>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(2,732,216)</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88"/>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(4,226,319)</w:t>
            </w: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Capital receipts received</w:t>
            </w: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(5,576,383)</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88"/>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1,968,155</w:t>
            </w: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Capital receipts applied</w:t>
            </w: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4,364,788</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88"/>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355,972</w:t>
            </w: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Payments to DCLG</w:t>
            </w: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395,851</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288"/>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266,855</w:t>
            </w: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center"/>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Transfers to/ (from) reserves</w:t>
            </w: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bottom"/>
            <w:hideMark/>
          </w:tcPr>
          <w:p w:rsidR="0053390C" w:rsidRPr="0053390C" w:rsidRDefault="0053390C" w:rsidP="0053390C">
            <w:pPr>
              <w:jc w:val="right"/>
              <w:rPr>
                <w:rFonts w:ascii="Arial" w:hAnsi="Arial" w:cs="Arial"/>
                <w:color w:val="000000"/>
                <w:sz w:val="22"/>
                <w:szCs w:val="22"/>
                <w:lang w:eastAsia="en-GB"/>
              </w:rPr>
            </w:pPr>
            <w:r w:rsidRPr="0053390C">
              <w:rPr>
                <w:rFonts w:ascii="Arial" w:hAnsi="Arial" w:cs="Arial"/>
                <w:color w:val="000000"/>
                <w:sz w:val="22"/>
                <w:szCs w:val="22"/>
                <w:lang w:eastAsia="en-GB"/>
              </w:rPr>
              <w:t>(20,532)</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303"/>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28"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4920"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347"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1366" w:type="dxa"/>
            <w:tcBorders>
              <w:top w:val="nil"/>
              <w:left w:val="nil"/>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318"/>
          <w:jc w:val="center"/>
        </w:trPr>
        <w:tc>
          <w:tcPr>
            <w:tcW w:w="283" w:type="dxa"/>
            <w:tcBorders>
              <w:top w:val="nil"/>
              <w:left w:val="single" w:sz="4" w:space="0" w:color="auto"/>
              <w:bottom w:val="nil"/>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jc w:val="right"/>
              <w:rPr>
                <w:rFonts w:ascii="Arial" w:hAnsi="Arial" w:cs="Arial"/>
                <w:b/>
                <w:bCs/>
                <w:color w:val="000000"/>
                <w:sz w:val="22"/>
                <w:szCs w:val="22"/>
                <w:lang w:eastAsia="en-GB"/>
              </w:rPr>
            </w:pPr>
            <w:r w:rsidRPr="0053390C">
              <w:rPr>
                <w:rFonts w:ascii="Arial" w:hAnsi="Arial" w:cs="Arial"/>
                <w:b/>
                <w:bCs/>
                <w:color w:val="000000"/>
                <w:sz w:val="22"/>
                <w:szCs w:val="22"/>
                <w:lang w:eastAsia="en-GB"/>
              </w:rPr>
              <w:t>(2,732,216)</w:t>
            </w:r>
          </w:p>
        </w:tc>
        <w:tc>
          <w:tcPr>
            <w:tcW w:w="428"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4920"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Balance at 31 March</w:t>
            </w:r>
          </w:p>
        </w:tc>
        <w:tc>
          <w:tcPr>
            <w:tcW w:w="347"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rPr>
                <w:rFonts w:ascii="Arial" w:hAnsi="Arial" w:cs="Arial"/>
                <w:b/>
                <w:bCs/>
                <w:color w:val="000000"/>
                <w:sz w:val="22"/>
                <w:szCs w:val="22"/>
                <w:lang w:eastAsia="en-GB"/>
              </w:rPr>
            </w:pPr>
            <w:r w:rsidRPr="0053390C">
              <w:rPr>
                <w:rFonts w:ascii="Arial" w:hAnsi="Arial" w:cs="Arial"/>
                <w:b/>
                <w:bCs/>
                <w:color w:val="000000"/>
                <w:sz w:val="22"/>
                <w:szCs w:val="22"/>
                <w:lang w:eastAsia="en-GB"/>
              </w:rPr>
              <w:t> </w:t>
            </w:r>
          </w:p>
        </w:tc>
        <w:tc>
          <w:tcPr>
            <w:tcW w:w="1366" w:type="dxa"/>
            <w:tcBorders>
              <w:top w:val="single" w:sz="8" w:space="0" w:color="auto"/>
              <w:left w:val="nil"/>
              <w:bottom w:val="single" w:sz="8" w:space="0" w:color="auto"/>
              <w:right w:val="nil"/>
            </w:tcBorders>
            <w:shd w:val="clear" w:color="auto" w:fill="auto"/>
            <w:noWrap/>
            <w:vAlign w:val="center"/>
            <w:hideMark/>
          </w:tcPr>
          <w:p w:rsidR="0053390C" w:rsidRPr="0053390C" w:rsidRDefault="0053390C" w:rsidP="0053390C">
            <w:pPr>
              <w:jc w:val="right"/>
              <w:rPr>
                <w:rFonts w:ascii="Arial" w:hAnsi="Arial" w:cs="Arial"/>
                <w:b/>
                <w:bCs/>
                <w:color w:val="000000"/>
                <w:sz w:val="22"/>
                <w:szCs w:val="22"/>
                <w:lang w:eastAsia="en-GB"/>
              </w:rPr>
            </w:pPr>
            <w:r w:rsidRPr="0053390C">
              <w:rPr>
                <w:rFonts w:ascii="Arial" w:hAnsi="Arial" w:cs="Arial"/>
                <w:b/>
                <w:bCs/>
                <w:color w:val="000000"/>
                <w:sz w:val="22"/>
                <w:szCs w:val="22"/>
                <w:lang w:eastAsia="en-GB"/>
              </w:rPr>
              <w:t>(3,568,492)</w:t>
            </w:r>
          </w:p>
        </w:tc>
        <w:tc>
          <w:tcPr>
            <w:tcW w:w="284" w:type="dxa"/>
            <w:tcBorders>
              <w:top w:val="nil"/>
              <w:left w:val="nil"/>
              <w:bottom w:val="nil"/>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r w:rsidR="0053390C" w:rsidRPr="0053390C" w:rsidTr="0053390C">
        <w:trPr>
          <w:trHeight w:val="121"/>
          <w:jc w:val="center"/>
        </w:trPr>
        <w:tc>
          <w:tcPr>
            <w:tcW w:w="283" w:type="dxa"/>
            <w:tcBorders>
              <w:top w:val="nil"/>
              <w:left w:val="single" w:sz="4" w:space="0" w:color="auto"/>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428"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4920"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347"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1366" w:type="dxa"/>
            <w:tcBorders>
              <w:top w:val="nil"/>
              <w:left w:val="nil"/>
              <w:bottom w:val="single" w:sz="4" w:space="0" w:color="auto"/>
              <w:right w:val="nil"/>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c>
          <w:tcPr>
            <w:tcW w:w="284" w:type="dxa"/>
            <w:tcBorders>
              <w:top w:val="nil"/>
              <w:left w:val="nil"/>
              <w:bottom w:val="single" w:sz="4" w:space="0" w:color="auto"/>
              <w:right w:val="single" w:sz="4" w:space="0" w:color="auto"/>
            </w:tcBorders>
            <w:shd w:val="clear" w:color="auto" w:fill="auto"/>
            <w:noWrap/>
            <w:vAlign w:val="bottom"/>
            <w:hideMark/>
          </w:tcPr>
          <w:p w:rsidR="0053390C" w:rsidRPr="0053390C" w:rsidRDefault="0053390C" w:rsidP="0053390C">
            <w:pPr>
              <w:rPr>
                <w:rFonts w:ascii="Arial" w:hAnsi="Arial" w:cs="Arial"/>
                <w:color w:val="000000"/>
                <w:sz w:val="22"/>
                <w:szCs w:val="22"/>
                <w:lang w:eastAsia="en-GB"/>
              </w:rPr>
            </w:pPr>
            <w:r w:rsidRPr="0053390C">
              <w:rPr>
                <w:rFonts w:ascii="Arial" w:hAnsi="Arial" w:cs="Arial"/>
                <w:color w:val="000000"/>
                <w:sz w:val="22"/>
                <w:szCs w:val="22"/>
                <w:lang w:eastAsia="en-GB"/>
              </w:rPr>
              <w:t> </w:t>
            </w:r>
          </w:p>
        </w:tc>
      </w:tr>
    </w:tbl>
    <w:p w:rsidR="003A0475" w:rsidRDefault="003A0475">
      <w:pPr>
        <w:rPr>
          <w:rFonts w:ascii="Arial" w:hAnsi="Arial" w:cs="Arial"/>
          <w:bCs/>
          <w:color w:val="002060"/>
          <w:sz w:val="22"/>
        </w:rPr>
      </w:pPr>
    </w:p>
    <w:p w:rsidR="006802AC" w:rsidRDefault="006802AC">
      <w:pPr>
        <w:rPr>
          <w:rFonts w:ascii="Arial" w:hAnsi="Arial" w:cs="Arial"/>
          <w:bCs/>
          <w:color w:val="000080"/>
          <w:sz w:val="22"/>
        </w:rPr>
      </w:pPr>
    </w:p>
    <w:p w:rsidR="00BA0AC9" w:rsidRDefault="00BA0AC9">
      <w:pPr>
        <w:rPr>
          <w:rFonts w:ascii="Arial" w:hAnsi="Arial" w:cs="Arial"/>
          <w:bCs/>
          <w:color w:val="000080"/>
          <w:sz w:val="22"/>
        </w:rPr>
      </w:pPr>
    </w:p>
    <w:p w:rsidR="006802AC" w:rsidRDefault="006802AC">
      <w:pPr>
        <w:rPr>
          <w:rFonts w:ascii="Arial" w:hAnsi="Arial" w:cs="Arial"/>
          <w:bCs/>
          <w:color w:val="000080"/>
          <w:sz w:val="22"/>
        </w:rPr>
      </w:pPr>
    </w:p>
    <w:p w:rsidR="00FC23F5" w:rsidRDefault="008C7F38">
      <w:pPr>
        <w:rPr>
          <w:rFonts w:ascii="Arial" w:hAnsi="Arial" w:cs="Arial"/>
          <w:bCs/>
          <w:color w:val="000080"/>
          <w:sz w:val="22"/>
        </w:rPr>
      </w:pPr>
      <w:r>
        <w:rPr>
          <w:rFonts w:ascii="Arial" w:hAnsi="Arial" w:cs="Arial"/>
          <w:bCs/>
          <w:color w:val="000080"/>
          <w:sz w:val="22"/>
        </w:rPr>
        <w:lastRenderedPageBreak/>
        <w:t>Capital Grants Unapplied</w:t>
      </w:r>
    </w:p>
    <w:p w:rsidR="002C5133" w:rsidRDefault="002C5133">
      <w:pPr>
        <w:rPr>
          <w:rFonts w:ascii="Arial" w:hAnsi="Arial" w:cs="Arial"/>
          <w:bCs/>
          <w:color w:val="000080"/>
          <w:sz w:val="22"/>
        </w:rPr>
      </w:pPr>
    </w:p>
    <w:p w:rsidR="004B00AD" w:rsidRPr="008C7F38" w:rsidRDefault="004B00AD">
      <w:pPr>
        <w:rPr>
          <w:rFonts w:ascii="Arial" w:hAnsi="Arial" w:cs="Arial"/>
          <w:bCs/>
          <w:color w:val="000080"/>
          <w:sz w:val="22"/>
        </w:rPr>
      </w:pPr>
    </w:p>
    <w:tbl>
      <w:tblPr>
        <w:tblW w:w="8862" w:type="dxa"/>
        <w:jc w:val="center"/>
        <w:tblInd w:w="93" w:type="dxa"/>
        <w:tblLook w:val="04A0" w:firstRow="1" w:lastRow="0" w:firstColumn="1" w:lastColumn="0" w:noHBand="0" w:noVBand="1"/>
      </w:tblPr>
      <w:tblGrid>
        <w:gridCol w:w="291"/>
        <w:gridCol w:w="1212"/>
        <w:gridCol w:w="291"/>
        <w:gridCol w:w="5063"/>
        <w:gridCol w:w="291"/>
        <w:gridCol w:w="1423"/>
        <w:gridCol w:w="291"/>
      </w:tblGrid>
      <w:tr w:rsidR="00BA0AC9" w:rsidRPr="00BA0AC9" w:rsidTr="00BA0AC9">
        <w:trPr>
          <w:trHeight w:val="148"/>
          <w:jc w:val="center"/>
        </w:trPr>
        <w:tc>
          <w:tcPr>
            <w:tcW w:w="291" w:type="dxa"/>
            <w:tcBorders>
              <w:top w:val="single" w:sz="4" w:space="0" w:color="auto"/>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single" w:sz="4" w:space="0" w:color="auto"/>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291" w:type="dxa"/>
            <w:tcBorders>
              <w:top w:val="single" w:sz="4" w:space="0" w:color="auto"/>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5063" w:type="dxa"/>
            <w:tcBorders>
              <w:top w:val="single" w:sz="4" w:space="0" w:color="auto"/>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291" w:type="dxa"/>
            <w:tcBorders>
              <w:top w:val="single" w:sz="4" w:space="0" w:color="auto"/>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423" w:type="dxa"/>
            <w:tcBorders>
              <w:top w:val="single" w:sz="4" w:space="0" w:color="auto"/>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291" w:type="dxa"/>
            <w:tcBorders>
              <w:top w:val="single" w:sz="4" w:space="0" w:color="auto"/>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297"/>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nil"/>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2012-13</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5063"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1423" w:type="dxa"/>
            <w:tcBorders>
              <w:top w:val="nil"/>
              <w:left w:val="nil"/>
              <w:bottom w:val="nil"/>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2013-14</w:t>
            </w: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312"/>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single" w:sz="8" w:space="0" w:color="auto"/>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w:t>
            </w:r>
          </w:p>
        </w:tc>
        <w:tc>
          <w:tcPr>
            <w:tcW w:w="291" w:type="dxa"/>
            <w:tcBorders>
              <w:top w:val="nil"/>
              <w:left w:val="nil"/>
              <w:bottom w:val="single" w:sz="8" w:space="0" w:color="auto"/>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 </w:t>
            </w:r>
          </w:p>
        </w:tc>
        <w:tc>
          <w:tcPr>
            <w:tcW w:w="5063" w:type="dxa"/>
            <w:tcBorders>
              <w:top w:val="nil"/>
              <w:left w:val="nil"/>
              <w:bottom w:val="single" w:sz="8" w:space="0" w:color="auto"/>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 </w:t>
            </w:r>
          </w:p>
        </w:tc>
        <w:tc>
          <w:tcPr>
            <w:tcW w:w="291" w:type="dxa"/>
            <w:tcBorders>
              <w:top w:val="nil"/>
              <w:left w:val="nil"/>
              <w:bottom w:val="single" w:sz="8" w:space="0" w:color="auto"/>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 </w:t>
            </w:r>
          </w:p>
        </w:tc>
        <w:tc>
          <w:tcPr>
            <w:tcW w:w="1423" w:type="dxa"/>
            <w:tcBorders>
              <w:top w:val="nil"/>
              <w:left w:val="nil"/>
              <w:bottom w:val="single" w:sz="8" w:space="0" w:color="auto"/>
              <w:right w:val="nil"/>
            </w:tcBorders>
            <w:shd w:val="clear" w:color="auto" w:fill="auto"/>
            <w:noWrap/>
            <w:vAlign w:val="center"/>
            <w:hideMark/>
          </w:tcPr>
          <w:p w:rsidR="00BA0AC9" w:rsidRPr="00BA0AC9" w:rsidRDefault="00BA0AC9" w:rsidP="00BA0AC9">
            <w:pPr>
              <w:jc w:val="center"/>
              <w:rPr>
                <w:rFonts w:ascii="Arial" w:hAnsi="Arial" w:cs="Arial"/>
                <w:b/>
                <w:bCs/>
                <w:color w:val="000000"/>
                <w:sz w:val="22"/>
                <w:szCs w:val="22"/>
                <w:lang w:eastAsia="en-GB"/>
              </w:rPr>
            </w:pPr>
            <w:r w:rsidRPr="00BA0AC9">
              <w:rPr>
                <w:rFonts w:ascii="Arial" w:hAnsi="Arial" w:cs="Arial"/>
                <w:b/>
                <w:bCs/>
                <w:color w:val="000000"/>
                <w:sz w:val="22"/>
                <w:szCs w:val="22"/>
                <w:lang w:eastAsia="en-GB"/>
              </w:rPr>
              <w:t>£</w:t>
            </w: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282"/>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5063"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1423"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282"/>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nil"/>
              <w:right w:val="nil"/>
            </w:tcBorders>
            <w:shd w:val="clear" w:color="auto" w:fill="auto"/>
            <w:noWrap/>
            <w:vAlign w:val="bottom"/>
            <w:hideMark/>
          </w:tcPr>
          <w:p w:rsidR="00BA0AC9" w:rsidRPr="00BA0AC9" w:rsidRDefault="00BA0AC9" w:rsidP="00BA0AC9">
            <w:pPr>
              <w:jc w:val="right"/>
              <w:rPr>
                <w:rFonts w:ascii="Arial" w:hAnsi="Arial" w:cs="Arial"/>
                <w:color w:val="000000"/>
                <w:sz w:val="22"/>
                <w:szCs w:val="22"/>
                <w:lang w:eastAsia="en-GB"/>
              </w:rPr>
            </w:pPr>
            <w:r w:rsidRPr="00BA0AC9">
              <w:rPr>
                <w:rFonts w:ascii="Arial" w:hAnsi="Arial" w:cs="Arial"/>
                <w:color w:val="000000"/>
                <w:sz w:val="22"/>
                <w:szCs w:val="22"/>
                <w:lang w:eastAsia="en-GB"/>
              </w:rPr>
              <w:t>(584,050)</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5063" w:type="dxa"/>
            <w:tcBorders>
              <w:top w:val="nil"/>
              <w:left w:val="nil"/>
              <w:bottom w:val="nil"/>
              <w:right w:val="nil"/>
            </w:tcBorders>
            <w:shd w:val="clear" w:color="auto" w:fill="auto"/>
            <w:noWrap/>
            <w:vAlign w:val="center"/>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Planning Delivery Grant</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1423" w:type="dxa"/>
            <w:tcBorders>
              <w:top w:val="nil"/>
              <w:left w:val="nil"/>
              <w:bottom w:val="nil"/>
              <w:right w:val="nil"/>
            </w:tcBorders>
            <w:shd w:val="clear" w:color="auto" w:fill="auto"/>
            <w:noWrap/>
            <w:vAlign w:val="bottom"/>
            <w:hideMark/>
          </w:tcPr>
          <w:p w:rsidR="00BA0AC9" w:rsidRPr="00BA0AC9" w:rsidRDefault="00BA0AC9" w:rsidP="00BA0AC9">
            <w:pPr>
              <w:jc w:val="right"/>
              <w:rPr>
                <w:rFonts w:ascii="Arial" w:hAnsi="Arial" w:cs="Arial"/>
                <w:color w:val="000000"/>
                <w:sz w:val="22"/>
                <w:szCs w:val="22"/>
                <w:lang w:eastAsia="en-GB"/>
              </w:rPr>
            </w:pPr>
            <w:r w:rsidRPr="00BA0AC9">
              <w:rPr>
                <w:rFonts w:ascii="Arial" w:hAnsi="Arial" w:cs="Arial"/>
                <w:color w:val="000000"/>
                <w:sz w:val="22"/>
                <w:szCs w:val="22"/>
                <w:lang w:eastAsia="en-GB"/>
              </w:rPr>
              <w:t>(584,050)</w:t>
            </w: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282"/>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nil"/>
              <w:right w:val="nil"/>
            </w:tcBorders>
            <w:shd w:val="clear" w:color="auto" w:fill="auto"/>
            <w:noWrap/>
            <w:vAlign w:val="bottom"/>
            <w:hideMark/>
          </w:tcPr>
          <w:p w:rsidR="00BA0AC9" w:rsidRPr="00BA0AC9" w:rsidRDefault="00BA0AC9" w:rsidP="00BA0AC9">
            <w:pPr>
              <w:jc w:val="right"/>
              <w:rPr>
                <w:rFonts w:ascii="Arial" w:hAnsi="Arial" w:cs="Arial"/>
                <w:color w:val="000000"/>
                <w:sz w:val="22"/>
                <w:szCs w:val="22"/>
                <w:lang w:eastAsia="en-GB"/>
              </w:rPr>
            </w:pPr>
            <w:r w:rsidRPr="00BA0AC9">
              <w:rPr>
                <w:rFonts w:ascii="Arial" w:hAnsi="Arial" w:cs="Arial"/>
                <w:color w:val="000000"/>
                <w:sz w:val="22"/>
                <w:szCs w:val="22"/>
                <w:lang w:eastAsia="en-GB"/>
              </w:rPr>
              <w:t>(5,800)</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5063" w:type="dxa"/>
            <w:tcBorders>
              <w:top w:val="nil"/>
              <w:left w:val="nil"/>
              <w:bottom w:val="nil"/>
              <w:right w:val="nil"/>
            </w:tcBorders>
            <w:shd w:val="clear" w:color="auto" w:fill="auto"/>
            <w:noWrap/>
            <w:vAlign w:val="center"/>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Council Tax - efficiency changes</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1423" w:type="dxa"/>
            <w:tcBorders>
              <w:top w:val="nil"/>
              <w:left w:val="nil"/>
              <w:bottom w:val="nil"/>
              <w:right w:val="nil"/>
            </w:tcBorders>
            <w:shd w:val="clear" w:color="auto" w:fill="auto"/>
            <w:noWrap/>
            <w:vAlign w:val="bottom"/>
            <w:hideMark/>
          </w:tcPr>
          <w:p w:rsidR="00BA0AC9" w:rsidRPr="00BA0AC9" w:rsidRDefault="00BA0AC9" w:rsidP="00BA0AC9">
            <w:pPr>
              <w:jc w:val="right"/>
              <w:rPr>
                <w:rFonts w:ascii="Arial" w:hAnsi="Arial" w:cs="Arial"/>
                <w:color w:val="000000"/>
                <w:sz w:val="22"/>
                <w:szCs w:val="22"/>
                <w:lang w:eastAsia="en-GB"/>
              </w:rPr>
            </w:pPr>
            <w:r w:rsidRPr="00BA0AC9">
              <w:rPr>
                <w:rFonts w:ascii="Arial" w:hAnsi="Arial" w:cs="Arial"/>
                <w:color w:val="000000"/>
                <w:sz w:val="22"/>
                <w:szCs w:val="22"/>
                <w:lang w:eastAsia="en-GB"/>
              </w:rPr>
              <w:t>0</w:t>
            </w: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282"/>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nil"/>
              <w:right w:val="nil"/>
            </w:tcBorders>
            <w:shd w:val="clear" w:color="auto" w:fill="auto"/>
            <w:noWrap/>
            <w:vAlign w:val="bottom"/>
            <w:hideMark/>
          </w:tcPr>
          <w:p w:rsidR="00BA0AC9" w:rsidRPr="00BA0AC9" w:rsidRDefault="00BA0AC9" w:rsidP="00BA0AC9">
            <w:pPr>
              <w:jc w:val="right"/>
              <w:rPr>
                <w:rFonts w:ascii="Arial" w:hAnsi="Arial" w:cs="Arial"/>
                <w:color w:val="000000"/>
                <w:sz w:val="22"/>
                <w:szCs w:val="22"/>
                <w:lang w:eastAsia="en-GB"/>
              </w:rPr>
            </w:pPr>
            <w:r w:rsidRPr="00BA0AC9">
              <w:rPr>
                <w:rFonts w:ascii="Arial" w:hAnsi="Arial" w:cs="Arial"/>
                <w:color w:val="000000"/>
                <w:sz w:val="22"/>
                <w:szCs w:val="22"/>
                <w:lang w:eastAsia="en-GB"/>
              </w:rPr>
              <w:t>(278)</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5063" w:type="dxa"/>
            <w:tcBorders>
              <w:top w:val="nil"/>
              <w:left w:val="nil"/>
              <w:bottom w:val="nil"/>
              <w:right w:val="nil"/>
            </w:tcBorders>
            <w:shd w:val="clear" w:color="auto" w:fill="auto"/>
            <w:noWrap/>
            <w:vAlign w:val="center"/>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Other</w:t>
            </w: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1423" w:type="dxa"/>
            <w:tcBorders>
              <w:top w:val="nil"/>
              <w:left w:val="nil"/>
              <w:bottom w:val="nil"/>
              <w:right w:val="nil"/>
            </w:tcBorders>
            <w:shd w:val="clear" w:color="auto" w:fill="auto"/>
            <w:noWrap/>
            <w:vAlign w:val="bottom"/>
            <w:hideMark/>
          </w:tcPr>
          <w:p w:rsidR="00BA0AC9" w:rsidRPr="00BA0AC9" w:rsidRDefault="00BA0AC9" w:rsidP="00BA0AC9">
            <w:pPr>
              <w:jc w:val="right"/>
              <w:rPr>
                <w:rFonts w:ascii="Arial" w:hAnsi="Arial" w:cs="Arial"/>
                <w:color w:val="000000"/>
                <w:sz w:val="22"/>
                <w:szCs w:val="22"/>
                <w:lang w:eastAsia="en-GB"/>
              </w:rPr>
            </w:pPr>
            <w:r w:rsidRPr="00BA0AC9">
              <w:rPr>
                <w:rFonts w:ascii="Arial" w:hAnsi="Arial" w:cs="Arial"/>
                <w:color w:val="000000"/>
                <w:sz w:val="22"/>
                <w:szCs w:val="22"/>
                <w:lang w:eastAsia="en-GB"/>
              </w:rPr>
              <w:t>(130)</w:t>
            </w: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297"/>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5063"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1423" w:type="dxa"/>
            <w:tcBorders>
              <w:top w:val="nil"/>
              <w:left w:val="nil"/>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312"/>
          <w:jc w:val="center"/>
        </w:trPr>
        <w:tc>
          <w:tcPr>
            <w:tcW w:w="291" w:type="dxa"/>
            <w:tcBorders>
              <w:top w:val="nil"/>
              <w:left w:val="single" w:sz="4" w:space="0" w:color="auto"/>
              <w:bottom w:val="nil"/>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single" w:sz="8" w:space="0" w:color="auto"/>
              <w:left w:val="nil"/>
              <w:bottom w:val="single" w:sz="8" w:space="0" w:color="auto"/>
              <w:right w:val="nil"/>
            </w:tcBorders>
            <w:shd w:val="clear" w:color="auto" w:fill="auto"/>
            <w:noWrap/>
            <w:vAlign w:val="center"/>
            <w:hideMark/>
          </w:tcPr>
          <w:p w:rsidR="00BA0AC9" w:rsidRPr="00BA0AC9" w:rsidRDefault="00BA0AC9" w:rsidP="00BA0AC9">
            <w:pPr>
              <w:jc w:val="right"/>
              <w:rPr>
                <w:rFonts w:ascii="Arial" w:hAnsi="Arial" w:cs="Arial"/>
                <w:b/>
                <w:bCs/>
                <w:color w:val="000000"/>
                <w:sz w:val="22"/>
                <w:szCs w:val="22"/>
                <w:lang w:eastAsia="en-GB"/>
              </w:rPr>
            </w:pPr>
            <w:r w:rsidRPr="00BA0AC9">
              <w:rPr>
                <w:rFonts w:ascii="Arial" w:hAnsi="Arial" w:cs="Arial"/>
                <w:b/>
                <w:bCs/>
                <w:color w:val="000000"/>
                <w:sz w:val="22"/>
                <w:szCs w:val="22"/>
                <w:lang w:eastAsia="en-GB"/>
              </w:rPr>
              <w:t>(590,128)</w:t>
            </w:r>
          </w:p>
        </w:tc>
        <w:tc>
          <w:tcPr>
            <w:tcW w:w="291" w:type="dxa"/>
            <w:tcBorders>
              <w:top w:val="single" w:sz="8" w:space="0" w:color="auto"/>
              <w:left w:val="nil"/>
              <w:bottom w:val="single" w:sz="8" w:space="0" w:color="auto"/>
              <w:right w:val="nil"/>
            </w:tcBorders>
            <w:shd w:val="clear" w:color="auto" w:fill="auto"/>
            <w:noWrap/>
            <w:vAlign w:val="center"/>
            <w:hideMark/>
          </w:tcPr>
          <w:p w:rsidR="00BA0AC9" w:rsidRPr="00BA0AC9" w:rsidRDefault="00BA0AC9" w:rsidP="00BA0AC9">
            <w:pPr>
              <w:rPr>
                <w:rFonts w:ascii="Arial" w:hAnsi="Arial" w:cs="Arial"/>
                <w:b/>
                <w:bCs/>
                <w:color w:val="000000"/>
                <w:sz w:val="22"/>
                <w:szCs w:val="22"/>
                <w:lang w:eastAsia="en-GB"/>
              </w:rPr>
            </w:pPr>
            <w:r w:rsidRPr="00BA0AC9">
              <w:rPr>
                <w:rFonts w:ascii="Arial" w:hAnsi="Arial" w:cs="Arial"/>
                <w:b/>
                <w:bCs/>
                <w:color w:val="000000"/>
                <w:sz w:val="22"/>
                <w:szCs w:val="22"/>
                <w:lang w:eastAsia="en-GB"/>
              </w:rPr>
              <w:t> </w:t>
            </w:r>
          </w:p>
        </w:tc>
        <w:tc>
          <w:tcPr>
            <w:tcW w:w="5063" w:type="dxa"/>
            <w:tcBorders>
              <w:top w:val="single" w:sz="8" w:space="0" w:color="auto"/>
              <w:left w:val="nil"/>
              <w:bottom w:val="single" w:sz="8" w:space="0" w:color="auto"/>
              <w:right w:val="nil"/>
            </w:tcBorders>
            <w:shd w:val="clear" w:color="auto" w:fill="auto"/>
            <w:noWrap/>
            <w:vAlign w:val="center"/>
            <w:hideMark/>
          </w:tcPr>
          <w:p w:rsidR="00BA0AC9" w:rsidRPr="00BA0AC9" w:rsidRDefault="00BA0AC9" w:rsidP="00BA0AC9">
            <w:pPr>
              <w:rPr>
                <w:rFonts w:ascii="Arial" w:hAnsi="Arial" w:cs="Arial"/>
                <w:b/>
                <w:bCs/>
                <w:color w:val="000000"/>
                <w:sz w:val="22"/>
                <w:szCs w:val="22"/>
                <w:lang w:eastAsia="en-GB"/>
              </w:rPr>
            </w:pPr>
          </w:p>
        </w:tc>
        <w:tc>
          <w:tcPr>
            <w:tcW w:w="291" w:type="dxa"/>
            <w:tcBorders>
              <w:top w:val="single" w:sz="8" w:space="0" w:color="auto"/>
              <w:left w:val="nil"/>
              <w:bottom w:val="single" w:sz="8" w:space="0" w:color="auto"/>
              <w:right w:val="nil"/>
            </w:tcBorders>
            <w:shd w:val="clear" w:color="auto" w:fill="auto"/>
            <w:noWrap/>
            <w:vAlign w:val="center"/>
            <w:hideMark/>
          </w:tcPr>
          <w:p w:rsidR="00BA0AC9" w:rsidRPr="00BA0AC9" w:rsidRDefault="00BA0AC9" w:rsidP="00BA0AC9">
            <w:pPr>
              <w:rPr>
                <w:rFonts w:ascii="Arial" w:hAnsi="Arial" w:cs="Arial"/>
                <w:b/>
                <w:bCs/>
                <w:color w:val="000000"/>
                <w:sz w:val="22"/>
                <w:szCs w:val="22"/>
                <w:lang w:eastAsia="en-GB"/>
              </w:rPr>
            </w:pPr>
            <w:r w:rsidRPr="00BA0AC9">
              <w:rPr>
                <w:rFonts w:ascii="Arial" w:hAnsi="Arial" w:cs="Arial"/>
                <w:b/>
                <w:bCs/>
                <w:color w:val="000000"/>
                <w:sz w:val="22"/>
                <w:szCs w:val="22"/>
                <w:lang w:eastAsia="en-GB"/>
              </w:rPr>
              <w:t> </w:t>
            </w:r>
          </w:p>
        </w:tc>
        <w:tc>
          <w:tcPr>
            <w:tcW w:w="1423" w:type="dxa"/>
            <w:tcBorders>
              <w:top w:val="single" w:sz="8" w:space="0" w:color="auto"/>
              <w:left w:val="nil"/>
              <w:bottom w:val="single" w:sz="8" w:space="0" w:color="auto"/>
              <w:right w:val="nil"/>
            </w:tcBorders>
            <w:shd w:val="clear" w:color="auto" w:fill="auto"/>
            <w:noWrap/>
            <w:vAlign w:val="center"/>
            <w:hideMark/>
          </w:tcPr>
          <w:p w:rsidR="00BA0AC9" w:rsidRPr="00BA0AC9" w:rsidRDefault="00BA0AC9" w:rsidP="00BA0AC9">
            <w:pPr>
              <w:jc w:val="right"/>
              <w:rPr>
                <w:rFonts w:ascii="Arial" w:hAnsi="Arial" w:cs="Arial"/>
                <w:b/>
                <w:bCs/>
                <w:color w:val="000000"/>
                <w:sz w:val="22"/>
                <w:szCs w:val="22"/>
                <w:lang w:eastAsia="en-GB"/>
              </w:rPr>
            </w:pPr>
            <w:r w:rsidRPr="00BA0AC9">
              <w:rPr>
                <w:rFonts w:ascii="Arial" w:hAnsi="Arial" w:cs="Arial"/>
                <w:b/>
                <w:bCs/>
                <w:color w:val="000000"/>
                <w:sz w:val="22"/>
                <w:szCs w:val="22"/>
                <w:lang w:eastAsia="en-GB"/>
              </w:rPr>
              <w:t>(584,180)</w:t>
            </w:r>
          </w:p>
        </w:tc>
        <w:tc>
          <w:tcPr>
            <w:tcW w:w="291" w:type="dxa"/>
            <w:tcBorders>
              <w:top w:val="nil"/>
              <w:left w:val="nil"/>
              <w:bottom w:val="nil"/>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r w:rsidR="00BA0AC9" w:rsidRPr="00BA0AC9" w:rsidTr="00BA0AC9">
        <w:trPr>
          <w:trHeight w:val="104"/>
          <w:jc w:val="center"/>
        </w:trPr>
        <w:tc>
          <w:tcPr>
            <w:tcW w:w="291" w:type="dxa"/>
            <w:tcBorders>
              <w:top w:val="nil"/>
              <w:left w:val="single" w:sz="4" w:space="0" w:color="auto"/>
              <w:bottom w:val="single" w:sz="4" w:space="0" w:color="auto"/>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212" w:type="dxa"/>
            <w:tcBorders>
              <w:top w:val="nil"/>
              <w:left w:val="nil"/>
              <w:bottom w:val="single" w:sz="4" w:space="0" w:color="auto"/>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291" w:type="dxa"/>
            <w:tcBorders>
              <w:top w:val="nil"/>
              <w:left w:val="nil"/>
              <w:bottom w:val="single" w:sz="4" w:space="0" w:color="auto"/>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5063" w:type="dxa"/>
            <w:tcBorders>
              <w:top w:val="nil"/>
              <w:left w:val="nil"/>
              <w:bottom w:val="single" w:sz="4" w:space="0" w:color="auto"/>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291" w:type="dxa"/>
            <w:tcBorders>
              <w:top w:val="nil"/>
              <w:left w:val="nil"/>
              <w:bottom w:val="single" w:sz="4" w:space="0" w:color="auto"/>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1423" w:type="dxa"/>
            <w:tcBorders>
              <w:top w:val="nil"/>
              <w:left w:val="nil"/>
              <w:bottom w:val="single" w:sz="4" w:space="0" w:color="auto"/>
              <w:right w:val="nil"/>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c>
          <w:tcPr>
            <w:tcW w:w="291" w:type="dxa"/>
            <w:tcBorders>
              <w:top w:val="nil"/>
              <w:left w:val="nil"/>
              <w:bottom w:val="single" w:sz="4" w:space="0" w:color="auto"/>
              <w:right w:val="single" w:sz="4" w:space="0" w:color="auto"/>
            </w:tcBorders>
            <w:shd w:val="clear" w:color="auto" w:fill="auto"/>
            <w:noWrap/>
            <w:vAlign w:val="bottom"/>
            <w:hideMark/>
          </w:tcPr>
          <w:p w:rsidR="00BA0AC9" w:rsidRPr="00BA0AC9" w:rsidRDefault="00BA0AC9" w:rsidP="00BA0AC9">
            <w:pPr>
              <w:rPr>
                <w:rFonts w:ascii="Arial" w:hAnsi="Arial" w:cs="Arial"/>
                <w:color w:val="000000"/>
                <w:sz w:val="22"/>
                <w:szCs w:val="22"/>
                <w:lang w:eastAsia="en-GB"/>
              </w:rPr>
            </w:pPr>
            <w:r w:rsidRPr="00BA0AC9">
              <w:rPr>
                <w:rFonts w:ascii="Arial" w:hAnsi="Arial" w:cs="Arial"/>
                <w:color w:val="000000"/>
                <w:sz w:val="22"/>
                <w:szCs w:val="22"/>
                <w:lang w:eastAsia="en-GB"/>
              </w:rPr>
              <w:t> </w:t>
            </w:r>
          </w:p>
        </w:tc>
      </w:tr>
    </w:tbl>
    <w:p w:rsidR="001B0071" w:rsidRDefault="001B0071">
      <w:pPr>
        <w:pStyle w:val="xl65"/>
        <w:spacing w:before="0" w:beforeAutospacing="0" w:after="0" w:afterAutospacing="0"/>
        <w:rPr>
          <w:rFonts w:eastAsia="Times New Roman"/>
          <w:b/>
          <w:color w:val="000080"/>
          <w:sz w:val="24"/>
          <w:szCs w:val="20"/>
        </w:rPr>
      </w:pPr>
    </w:p>
    <w:p w:rsidR="001B0071" w:rsidRDefault="001B0071">
      <w:pPr>
        <w:pStyle w:val="xl65"/>
        <w:spacing w:before="0" w:beforeAutospacing="0" w:after="0" w:afterAutospacing="0"/>
        <w:rPr>
          <w:rFonts w:eastAsia="Times New Roman"/>
          <w:b/>
          <w:color w:val="000080"/>
          <w:sz w:val="24"/>
          <w:szCs w:val="20"/>
        </w:rPr>
      </w:pPr>
    </w:p>
    <w:p w:rsidR="001B0071" w:rsidRDefault="001B0071">
      <w:pPr>
        <w:pStyle w:val="xl65"/>
        <w:spacing w:before="0" w:beforeAutospacing="0" w:after="0" w:afterAutospacing="0"/>
        <w:rPr>
          <w:rFonts w:eastAsia="Times New Roman"/>
          <w:b/>
          <w:color w:val="000080"/>
          <w:sz w:val="24"/>
          <w:szCs w:val="20"/>
        </w:rPr>
      </w:pPr>
    </w:p>
    <w:p w:rsidR="00F23FFF" w:rsidRDefault="003552BC">
      <w:pPr>
        <w:pStyle w:val="xl65"/>
        <w:spacing w:before="0" w:beforeAutospacing="0" w:after="0" w:afterAutospacing="0"/>
        <w:rPr>
          <w:rFonts w:eastAsia="Times New Roman"/>
          <w:b/>
          <w:color w:val="000080"/>
          <w:sz w:val="24"/>
          <w:szCs w:val="20"/>
        </w:rPr>
      </w:pPr>
      <w:r>
        <w:rPr>
          <w:rFonts w:eastAsia="Times New Roman"/>
          <w:b/>
          <w:color w:val="000080"/>
          <w:sz w:val="24"/>
          <w:szCs w:val="20"/>
        </w:rPr>
        <w:t>12     Unusable Reserves</w:t>
      </w:r>
    </w:p>
    <w:p w:rsidR="00F23FFF" w:rsidRDefault="00F23FFF">
      <w:pPr>
        <w:rPr>
          <w:rFonts w:ascii="Arial" w:hAnsi="Arial" w:cs="Arial"/>
          <w:bCs/>
          <w:sz w:val="22"/>
        </w:rPr>
      </w:pPr>
    </w:p>
    <w:p w:rsidR="00F23FFF" w:rsidRDefault="003552BC">
      <w:pPr>
        <w:ind w:left="567"/>
        <w:rPr>
          <w:rFonts w:ascii="Arial" w:hAnsi="Arial" w:cs="Arial"/>
          <w:bCs/>
          <w:sz w:val="22"/>
        </w:rPr>
      </w:pPr>
      <w:r>
        <w:rPr>
          <w:rFonts w:ascii="Arial" w:hAnsi="Arial" w:cs="Arial"/>
          <w:bCs/>
          <w:sz w:val="22"/>
        </w:rPr>
        <w:t>Movements in the Authority’s unusable reserves are detailed in the Movement in Reserves Statement and detailed below.</w:t>
      </w:r>
    </w:p>
    <w:p w:rsidR="00F23FFF" w:rsidRDefault="00F23FFF">
      <w:pPr>
        <w:pStyle w:val="xl65"/>
        <w:spacing w:before="0" w:beforeAutospacing="0" w:after="0" w:afterAutospacing="0"/>
        <w:rPr>
          <w:rFonts w:eastAsia="Times New Roman"/>
          <w:bCs/>
          <w:szCs w:val="20"/>
        </w:rPr>
      </w:pPr>
    </w:p>
    <w:p w:rsidR="004B00AD" w:rsidRDefault="004B00AD">
      <w:pPr>
        <w:pStyle w:val="xl65"/>
        <w:spacing w:before="0" w:beforeAutospacing="0" w:after="0" w:afterAutospacing="0"/>
        <w:rPr>
          <w:rFonts w:eastAsia="Times New Roman"/>
          <w:bCs/>
          <w:szCs w:val="20"/>
        </w:rPr>
      </w:pPr>
    </w:p>
    <w:tbl>
      <w:tblPr>
        <w:tblW w:w="8503" w:type="dxa"/>
        <w:jc w:val="center"/>
        <w:tblInd w:w="93" w:type="dxa"/>
        <w:tblLook w:val="04A0" w:firstRow="1" w:lastRow="0" w:firstColumn="1" w:lastColumn="0" w:noHBand="0" w:noVBand="1"/>
      </w:tblPr>
      <w:tblGrid>
        <w:gridCol w:w="295"/>
        <w:gridCol w:w="1685"/>
        <w:gridCol w:w="297"/>
        <w:gridCol w:w="3951"/>
        <w:gridCol w:w="295"/>
        <w:gridCol w:w="1685"/>
        <w:gridCol w:w="295"/>
      </w:tblGrid>
      <w:tr w:rsidR="00CD4FCF" w:rsidRPr="00CD4FCF" w:rsidTr="00CD4FCF">
        <w:trPr>
          <w:trHeight w:val="177"/>
          <w:jc w:val="center"/>
        </w:trPr>
        <w:tc>
          <w:tcPr>
            <w:tcW w:w="295" w:type="dxa"/>
            <w:tcBorders>
              <w:top w:val="single" w:sz="4" w:space="0" w:color="auto"/>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297"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3951"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295"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295" w:type="dxa"/>
            <w:tcBorders>
              <w:top w:val="single" w:sz="4" w:space="0" w:color="auto"/>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21"/>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21"/>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2012-13</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2013-14</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36"/>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single" w:sz="8" w:space="0" w:color="auto"/>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w:t>
            </w:r>
          </w:p>
        </w:tc>
        <w:tc>
          <w:tcPr>
            <w:tcW w:w="297" w:type="dxa"/>
            <w:tcBorders>
              <w:top w:val="nil"/>
              <w:left w:val="nil"/>
              <w:bottom w:val="single" w:sz="8" w:space="0" w:color="auto"/>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3951" w:type="dxa"/>
            <w:tcBorders>
              <w:top w:val="nil"/>
              <w:left w:val="nil"/>
              <w:bottom w:val="single" w:sz="8" w:space="0" w:color="auto"/>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295" w:type="dxa"/>
            <w:tcBorders>
              <w:top w:val="nil"/>
              <w:left w:val="nil"/>
              <w:bottom w:val="single" w:sz="8" w:space="0" w:color="auto"/>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1685" w:type="dxa"/>
            <w:tcBorders>
              <w:top w:val="nil"/>
              <w:left w:val="nil"/>
              <w:bottom w:val="single" w:sz="8" w:space="0" w:color="auto"/>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r w:rsidRPr="00CD4FCF">
              <w:rPr>
                <w:rFonts w:ascii="Arial" w:hAnsi="Arial" w:cs="Arial"/>
                <w:b/>
                <w:bCs/>
                <w:color w:val="000000"/>
                <w:sz w:val="22"/>
                <w:szCs w:val="22"/>
                <w:lang w:eastAsia="en-GB"/>
              </w:rPr>
              <w:t>£</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(17,708,665)</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Revaluation Reserve</w:t>
            </w: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(12,710,246)</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(172,104,072)</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Capital Adjustment Account</w:t>
            </w: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(177,777,232)</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 xml:space="preserve">45,399,000 </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Pensions Reserve</w:t>
            </w: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 xml:space="preserve">48,245,000 </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(833)</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Collection Fund Adjustment Account</w:t>
            </w: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 xml:space="preserve">2,917,435 </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(73,680)</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Deferred Capital Receipts</w:t>
            </w: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(90,273)</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5"/>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 xml:space="preserve">219,400 </w:t>
            </w: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Accumulated Absences</w:t>
            </w: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 xml:space="preserve">221,318 </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21"/>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7"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951"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685"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36"/>
          <w:jc w:val="center"/>
        </w:trPr>
        <w:tc>
          <w:tcPr>
            <w:tcW w:w="295"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single" w:sz="8" w:space="0" w:color="auto"/>
              <w:left w:val="nil"/>
              <w:bottom w:val="single" w:sz="8" w:space="0" w:color="auto"/>
              <w:right w:val="nil"/>
            </w:tcBorders>
            <w:shd w:val="clear" w:color="auto" w:fill="auto"/>
            <w:noWrap/>
            <w:vAlign w:val="center"/>
            <w:hideMark/>
          </w:tcPr>
          <w:p w:rsidR="00CD4FCF" w:rsidRPr="00CD4FCF" w:rsidRDefault="00CD4FCF" w:rsidP="00CD4FCF">
            <w:pPr>
              <w:jc w:val="right"/>
              <w:rPr>
                <w:rFonts w:ascii="Arial" w:hAnsi="Arial" w:cs="Arial"/>
                <w:b/>
                <w:bCs/>
                <w:color w:val="000000"/>
                <w:sz w:val="22"/>
                <w:szCs w:val="22"/>
                <w:lang w:eastAsia="en-GB"/>
              </w:rPr>
            </w:pPr>
            <w:r w:rsidRPr="00CD4FCF">
              <w:rPr>
                <w:rFonts w:ascii="Arial" w:hAnsi="Arial" w:cs="Arial"/>
                <w:b/>
                <w:bCs/>
                <w:color w:val="000000"/>
                <w:sz w:val="22"/>
                <w:szCs w:val="22"/>
                <w:lang w:eastAsia="en-GB"/>
              </w:rPr>
              <w:t>(144,268,850)</w:t>
            </w:r>
          </w:p>
        </w:tc>
        <w:tc>
          <w:tcPr>
            <w:tcW w:w="297" w:type="dxa"/>
            <w:tcBorders>
              <w:top w:val="single" w:sz="8" w:space="0" w:color="auto"/>
              <w:left w:val="nil"/>
              <w:bottom w:val="single" w:sz="8" w:space="0" w:color="auto"/>
              <w:right w:val="nil"/>
            </w:tcBorders>
            <w:shd w:val="clear" w:color="auto" w:fill="auto"/>
            <w:noWrap/>
            <w:vAlign w:val="center"/>
            <w:hideMark/>
          </w:tcPr>
          <w:p w:rsidR="00CD4FCF" w:rsidRPr="00CD4FCF" w:rsidRDefault="00CD4FCF" w:rsidP="00CD4FCF">
            <w:pP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3951" w:type="dxa"/>
            <w:tcBorders>
              <w:top w:val="single" w:sz="8" w:space="0" w:color="auto"/>
              <w:left w:val="nil"/>
              <w:bottom w:val="single" w:sz="8" w:space="0" w:color="auto"/>
              <w:right w:val="nil"/>
            </w:tcBorders>
            <w:shd w:val="clear" w:color="auto" w:fill="auto"/>
            <w:noWrap/>
            <w:vAlign w:val="center"/>
            <w:hideMark/>
          </w:tcPr>
          <w:p w:rsidR="00CD4FCF" w:rsidRPr="00CD4FCF" w:rsidRDefault="00CD4FCF" w:rsidP="00CD4FCF">
            <w:pP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295" w:type="dxa"/>
            <w:tcBorders>
              <w:top w:val="single" w:sz="8" w:space="0" w:color="auto"/>
              <w:left w:val="nil"/>
              <w:bottom w:val="single" w:sz="8" w:space="0" w:color="auto"/>
              <w:right w:val="nil"/>
            </w:tcBorders>
            <w:shd w:val="clear" w:color="auto" w:fill="auto"/>
            <w:noWrap/>
            <w:vAlign w:val="center"/>
            <w:hideMark/>
          </w:tcPr>
          <w:p w:rsidR="00CD4FCF" w:rsidRPr="00CD4FCF" w:rsidRDefault="00CD4FCF" w:rsidP="00CD4FCF">
            <w:pP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1685" w:type="dxa"/>
            <w:tcBorders>
              <w:top w:val="single" w:sz="8" w:space="0" w:color="auto"/>
              <w:left w:val="nil"/>
              <w:bottom w:val="single" w:sz="8" w:space="0" w:color="auto"/>
              <w:right w:val="nil"/>
            </w:tcBorders>
            <w:shd w:val="clear" w:color="auto" w:fill="auto"/>
            <w:noWrap/>
            <w:vAlign w:val="center"/>
            <w:hideMark/>
          </w:tcPr>
          <w:p w:rsidR="00CD4FCF" w:rsidRPr="00CD4FCF" w:rsidRDefault="00CD4FCF" w:rsidP="00CD4FCF">
            <w:pPr>
              <w:jc w:val="right"/>
              <w:rPr>
                <w:rFonts w:ascii="Arial" w:hAnsi="Arial" w:cs="Arial"/>
                <w:b/>
                <w:bCs/>
                <w:color w:val="000000"/>
                <w:sz w:val="22"/>
                <w:szCs w:val="22"/>
                <w:lang w:eastAsia="en-GB"/>
              </w:rPr>
            </w:pPr>
            <w:r w:rsidRPr="00CD4FCF">
              <w:rPr>
                <w:rFonts w:ascii="Arial" w:hAnsi="Arial" w:cs="Arial"/>
                <w:b/>
                <w:bCs/>
                <w:color w:val="000000"/>
                <w:sz w:val="22"/>
                <w:szCs w:val="22"/>
                <w:lang w:eastAsia="en-GB"/>
              </w:rPr>
              <w:t>(139,193,998)</w:t>
            </w:r>
          </w:p>
        </w:tc>
        <w:tc>
          <w:tcPr>
            <w:tcW w:w="295"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208"/>
          <w:jc w:val="center"/>
        </w:trPr>
        <w:tc>
          <w:tcPr>
            <w:tcW w:w="295" w:type="dxa"/>
            <w:tcBorders>
              <w:top w:val="nil"/>
              <w:left w:val="single" w:sz="4" w:space="0" w:color="auto"/>
              <w:bottom w:val="single" w:sz="4" w:space="0" w:color="auto"/>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85" w:type="dxa"/>
            <w:tcBorders>
              <w:top w:val="nil"/>
              <w:left w:val="nil"/>
              <w:bottom w:val="single" w:sz="4" w:space="0" w:color="auto"/>
              <w:right w:val="nil"/>
            </w:tcBorders>
            <w:shd w:val="clear" w:color="auto" w:fill="auto"/>
            <w:noWrap/>
            <w:vAlign w:val="center"/>
            <w:hideMark/>
          </w:tcPr>
          <w:p w:rsidR="00CD4FCF" w:rsidRPr="00CD4FCF" w:rsidRDefault="00CD4FCF" w:rsidP="00CD4FCF">
            <w:pPr>
              <w:jc w:val="right"/>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297" w:type="dxa"/>
            <w:tcBorders>
              <w:top w:val="nil"/>
              <w:left w:val="nil"/>
              <w:bottom w:val="single" w:sz="4" w:space="0" w:color="auto"/>
              <w:right w:val="nil"/>
            </w:tcBorders>
            <w:shd w:val="clear" w:color="auto" w:fill="auto"/>
            <w:noWrap/>
            <w:vAlign w:val="center"/>
            <w:hideMark/>
          </w:tcPr>
          <w:p w:rsidR="00CD4FCF" w:rsidRPr="00CD4FCF" w:rsidRDefault="00CD4FCF" w:rsidP="00CD4FCF">
            <w:pP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3951" w:type="dxa"/>
            <w:tcBorders>
              <w:top w:val="nil"/>
              <w:left w:val="nil"/>
              <w:bottom w:val="single" w:sz="4" w:space="0" w:color="auto"/>
              <w:right w:val="nil"/>
            </w:tcBorders>
            <w:shd w:val="clear" w:color="auto" w:fill="auto"/>
            <w:noWrap/>
            <w:vAlign w:val="center"/>
            <w:hideMark/>
          </w:tcPr>
          <w:p w:rsidR="00CD4FCF" w:rsidRPr="00CD4FCF" w:rsidRDefault="00CD4FCF" w:rsidP="00CD4FCF">
            <w:pP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295" w:type="dxa"/>
            <w:tcBorders>
              <w:top w:val="nil"/>
              <w:left w:val="nil"/>
              <w:bottom w:val="single" w:sz="4" w:space="0" w:color="auto"/>
              <w:right w:val="nil"/>
            </w:tcBorders>
            <w:shd w:val="clear" w:color="auto" w:fill="auto"/>
            <w:noWrap/>
            <w:vAlign w:val="center"/>
            <w:hideMark/>
          </w:tcPr>
          <w:p w:rsidR="00CD4FCF" w:rsidRPr="00CD4FCF" w:rsidRDefault="00CD4FCF" w:rsidP="00CD4FCF">
            <w:pPr>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1685" w:type="dxa"/>
            <w:tcBorders>
              <w:top w:val="nil"/>
              <w:left w:val="nil"/>
              <w:bottom w:val="single" w:sz="4" w:space="0" w:color="auto"/>
              <w:right w:val="nil"/>
            </w:tcBorders>
            <w:shd w:val="clear" w:color="auto" w:fill="auto"/>
            <w:noWrap/>
            <w:vAlign w:val="center"/>
            <w:hideMark/>
          </w:tcPr>
          <w:p w:rsidR="00CD4FCF" w:rsidRPr="00CD4FCF" w:rsidRDefault="00CD4FCF" w:rsidP="00CD4FCF">
            <w:pPr>
              <w:jc w:val="right"/>
              <w:rPr>
                <w:rFonts w:ascii="Arial" w:hAnsi="Arial" w:cs="Arial"/>
                <w:b/>
                <w:bCs/>
                <w:color w:val="000000"/>
                <w:sz w:val="22"/>
                <w:szCs w:val="22"/>
                <w:lang w:eastAsia="en-GB"/>
              </w:rPr>
            </w:pPr>
            <w:r w:rsidRPr="00CD4FCF">
              <w:rPr>
                <w:rFonts w:ascii="Arial" w:hAnsi="Arial" w:cs="Arial"/>
                <w:b/>
                <w:bCs/>
                <w:color w:val="000000"/>
                <w:sz w:val="22"/>
                <w:szCs w:val="22"/>
                <w:lang w:eastAsia="en-GB"/>
              </w:rPr>
              <w:t> </w:t>
            </w:r>
          </w:p>
        </w:tc>
        <w:tc>
          <w:tcPr>
            <w:tcW w:w="295" w:type="dxa"/>
            <w:tcBorders>
              <w:top w:val="nil"/>
              <w:left w:val="nil"/>
              <w:bottom w:val="single" w:sz="4" w:space="0" w:color="auto"/>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bl>
    <w:p w:rsidR="00F23FFF" w:rsidRDefault="00F23FFF">
      <w:pPr>
        <w:rPr>
          <w:rFonts w:ascii="Arial" w:hAnsi="Arial" w:cs="Arial"/>
          <w:bCs/>
          <w:sz w:val="22"/>
        </w:rPr>
      </w:pPr>
    </w:p>
    <w:p w:rsidR="00BA0AC9" w:rsidRDefault="00BA0AC9">
      <w:pPr>
        <w:rPr>
          <w:rFonts w:ascii="Arial" w:hAnsi="Arial" w:cs="Arial"/>
          <w:bCs/>
          <w:sz w:val="22"/>
        </w:rPr>
      </w:pPr>
    </w:p>
    <w:p w:rsidR="00F23FFF" w:rsidRDefault="003552BC">
      <w:pPr>
        <w:rPr>
          <w:rFonts w:ascii="Arial" w:hAnsi="Arial" w:cs="Arial"/>
          <w:sz w:val="22"/>
        </w:rPr>
      </w:pPr>
      <w:r>
        <w:rPr>
          <w:rFonts w:ascii="Arial" w:hAnsi="Arial" w:cs="Arial"/>
          <w:sz w:val="22"/>
        </w:rPr>
        <w:t>Deferred capital receipts are amounts derived from the sales of assets that will be received in instalments over agreed periods of time. They arise principally from mortgages on sales of council houses, which form the main part of mortgages under long term debtors.</w:t>
      </w:r>
    </w:p>
    <w:p w:rsidR="00F23FFF" w:rsidRDefault="00F23FFF">
      <w:pPr>
        <w:rPr>
          <w:rFonts w:ascii="Arial" w:hAnsi="Arial" w:cs="Arial"/>
          <w:sz w:val="22"/>
        </w:rPr>
      </w:pPr>
    </w:p>
    <w:p w:rsidR="00BA0AC9" w:rsidRDefault="00BA0AC9">
      <w:pPr>
        <w:rPr>
          <w:rFonts w:ascii="Arial" w:hAnsi="Arial" w:cs="Arial"/>
          <w:sz w:val="22"/>
        </w:rPr>
      </w:pPr>
    </w:p>
    <w:p w:rsidR="00F23FFF" w:rsidRDefault="003552BC">
      <w:pPr>
        <w:rPr>
          <w:rFonts w:ascii="Arial" w:hAnsi="Arial" w:cs="Arial"/>
          <w:bCs/>
          <w:color w:val="000080"/>
          <w:sz w:val="22"/>
        </w:rPr>
      </w:pPr>
      <w:r>
        <w:rPr>
          <w:rFonts w:ascii="Arial" w:hAnsi="Arial" w:cs="Arial"/>
          <w:bCs/>
          <w:color w:val="000080"/>
          <w:sz w:val="22"/>
        </w:rPr>
        <w:t>Revaluation Reserve</w:t>
      </w:r>
    </w:p>
    <w:p w:rsidR="00F23FFF" w:rsidRDefault="00F23FFF">
      <w:pPr>
        <w:rPr>
          <w:rFonts w:ascii="Arial" w:hAnsi="Arial" w:cs="Arial"/>
          <w:bCs/>
          <w:sz w:val="22"/>
        </w:rPr>
      </w:pPr>
    </w:p>
    <w:p w:rsidR="009922DF" w:rsidRDefault="003552BC">
      <w:pPr>
        <w:rPr>
          <w:rFonts w:ascii="Arial" w:hAnsi="Arial" w:cs="Arial"/>
          <w:bCs/>
          <w:sz w:val="22"/>
        </w:rPr>
      </w:pPr>
      <w:r>
        <w:rPr>
          <w:rFonts w:ascii="Arial" w:hAnsi="Arial" w:cs="Arial"/>
          <w:bCs/>
          <w:sz w:val="22"/>
        </w:rPr>
        <w:t xml:space="preserve">The Revaluation Reserve contains the gains made by the Council arising from increases in the value of its property, plant and equipment. The balance is reduced when the gain is lost through a downward revaluation or impairment, when used in the provision of </w:t>
      </w:r>
      <w:r>
        <w:rPr>
          <w:rFonts w:ascii="Arial" w:hAnsi="Arial" w:cs="Arial"/>
          <w:bCs/>
          <w:sz w:val="22"/>
        </w:rPr>
        <w:lastRenderedPageBreak/>
        <w:t>services and the gains are consumed through depreciation or, when the assets are disposed of and the gains realised.</w:t>
      </w:r>
    </w:p>
    <w:p w:rsidR="008C7F38" w:rsidRDefault="008C7F38">
      <w:pPr>
        <w:rPr>
          <w:rFonts w:ascii="Arial" w:hAnsi="Arial" w:cs="Arial"/>
          <w:bCs/>
          <w:sz w:val="22"/>
        </w:rPr>
      </w:pPr>
    </w:p>
    <w:tbl>
      <w:tblPr>
        <w:tblW w:w="8877" w:type="dxa"/>
        <w:tblInd w:w="93" w:type="dxa"/>
        <w:tblLook w:val="04A0" w:firstRow="1" w:lastRow="0" w:firstColumn="1" w:lastColumn="0" w:noHBand="0" w:noVBand="1"/>
      </w:tblPr>
      <w:tblGrid>
        <w:gridCol w:w="308"/>
        <w:gridCol w:w="1793"/>
        <w:gridCol w:w="310"/>
        <w:gridCol w:w="4538"/>
        <w:gridCol w:w="1620"/>
        <w:gridCol w:w="308"/>
      </w:tblGrid>
      <w:tr w:rsidR="004B00AD" w:rsidRPr="004B00AD" w:rsidTr="004B00AD">
        <w:trPr>
          <w:trHeight w:val="222"/>
        </w:trPr>
        <w:tc>
          <w:tcPr>
            <w:tcW w:w="308" w:type="dxa"/>
            <w:tcBorders>
              <w:top w:val="single" w:sz="4" w:space="0" w:color="auto"/>
              <w:left w:val="single" w:sz="4" w:space="0" w:color="auto"/>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1793"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310"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4538"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1620"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308" w:type="dxa"/>
            <w:tcBorders>
              <w:top w:val="single" w:sz="4" w:space="0" w:color="auto"/>
              <w:left w:val="nil"/>
              <w:bottom w:val="nil"/>
              <w:right w:val="single" w:sz="4" w:space="0" w:color="auto"/>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r>
      <w:tr w:rsidR="004B00AD" w:rsidRPr="004B00AD" w:rsidTr="004B00AD">
        <w:trPr>
          <w:trHeight w:val="318"/>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center"/>
            <w:hideMark/>
          </w:tcPr>
          <w:p w:rsidR="004B00AD" w:rsidRPr="004B00AD" w:rsidRDefault="004B00AD" w:rsidP="004B00AD">
            <w:pPr>
              <w:jc w:val="center"/>
              <w:rPr>
                <w:rFonts w:ascii="Arial" w:hAnsi="Arial" w:cs="Arial"/>
                <w:b/>
                <w:bCs/>
                <w:color w:val="000000"/>
                <w:sz w:val="22"/>
                <w:szCs w:val="22"/>
                <w:lang w:eastAsia="en-GB"/>
              </w:rPr>
            </w:pPr>
            <w:r w:rsidRPr="004B00AD">
              <w:rPr>
                <w:rFonts w:ascii="Arial" w:hAnsi="Arial" w:cs="Arial"/>
                <w:b/>
                <w:bCs/>
                <w:color w:val="000000"/>
                <w:sz w:val="22"/>
                <w:szCs w:val="22"/>
                <w:lang w:eastAsia="en-GB"/>
              </w:rPr>
              <w:t>2012-13</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1620" w:type="dxa"/>
            <w:tcBorders>
              <w:top w:val="nil"/>
              <w:left w:val="nil"/>
              <w:bottom w:val="nil"/>
              <w:right w:val="nil"/>
            </w:tcBorders>
            <w:shd w:val="clear" w:color="auto" w:fill="auto"/>
            <w:noWrap/>
            <w:vAlign w:val="center"/>
            <w:hideMark/>
          </w:tcPr>
          <w:p w:rsidR="004B00AD" w:rsidRPr="004B00AD" w:rsidRDefault="004B00AD" w:rsidP="004B00AD">
            <w:pPr>
              <w:jc w:val="center"/>
              <w:rPr>
                <w:rFonts w:ascii="Arial" w:hAnsi="Arial" w:cs="Arial"/>
                <w:b/>
                <w:bCs/>
                <w:color w:val="000000"/>
                <w:sz w:val="22"/>
                <w:szCs w:val="22"/>
                <w:lang w:eastAsia="en-GB"/>
              </w:rPr>
            </w:pPr>
            <w:r w:rsidRPr="004B00AD">
              <w:rPr>
                <w:rFonts w:ascii="Arial" w:hAnsi="Arial" w:cs="Arial"/>
                <w:b/>
                <w:bCs/>
                <w:color w:val="000000"/>
                <w:sz w:val="22"/>
                <w:szCs w:val="22"/>
                <w:lang w:eastAsia="en-GB"/>
              </w:rPr>
              <w:t>2013-14</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r>
      <w:tr w:rsidR="004B00AD" w:rsidRPr="004B00AD" w:rsidTr="004B00AD">
        <w:trPr>
          <w:trHeight w:val="318"/>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1620"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r>
      <w:tr w:rsidR="004B00AD" w:rsidRPr="004B00AD" w:rsidTr="004B00AD">
        <w:trPr>
          <w:trHeight w:val="334"/>
        </w:trPr>
        <w:tc>
          <w:tcPr>
            <w:tcW w:w="308" w:type="dxa"/>
            <w:tcBorders>
              <w:top w:val="nil"/>
              <w:left w:val="single" w:sz="4" w:space="0" w:color="auto"/>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793" w:type="dxa"/>
            <w:tcBorders>
              <w:top w:val="nil"/>
              <w:left w:val="nil"/>
              <w:bottom w:val="single" w:sz="8" w:space="0" w:color="auto"/>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(14,920,498)</w:t>
            </w:r>
          </w:p>
        </w:tc>
        <w:tc>
          <w:tcPr>
            <w:tcW w:w="310" w:type="dxa"/>
            <w:tcBorders>
              <w:top w:val="nil"/>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4538" w:type="dxa"/>
            <w:tcBorders>
              <w:top w:val="nil"/>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Balance at 1 April</w:t>
            </w:r>
          </w:p>
        </w:tc>
        <w:tc>
          <w:tcPr>
            <w:tcW w:w="1620" w:type="dxa"/>
            <w:tcBorders>
              <w:top w:val="nil"/>
              <w:left w:val="nil"/>
              <w:bottom w:val="single" w:sz="8" w:space="0" w:color="auto"/>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(17,708,665)</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2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(16,490,474)</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Revaluation gains </w:t>
            </w:r>
          </w:p>
        </w:tc>
        <w:tc>
          <w:tcPr>
            <w:tcW w:w="1620"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(13,633,049)</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12,380,887</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Reversal of impairment </w:t>
            </w:r>
          </w:p>
        </w:tc>
        <w:tc>
          <w:tcPr>
            <w:tcW w:w="1620"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10,857,808</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326,312</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Revaluation impairment</w:t>
            </w:r>
          </w:p>
        </w:tc>
        <w:tc>
          <w:tcPr>
            <w:tcW w:w="1620"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7,081,885</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586,508</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Release of revaluation gains on disposal</w:t>
            </w:r>
          </w:p>
        </w:tc>
        <w:tc>
          <w:tcPr>
            <w:tcW w:w="1620"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138,498</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408,600</w:t>
            </w: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Depreciation adjustment</w:t>
            </w:r>
          </w:p>
        </w:tc>
        <w:tc>
          <w:tcPr>
            <w:tcW w:w="1620"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553,277</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34"/>
        </w:trPr>
        <w:tc>
          <w:tcPr>
            <w:tcW w:w="308"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31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538"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20"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34"/>
        </w:trPr>
        <w:tc>
          <w:tcPr>
            <w:tcW w:w="308" w:type="dxa"/>
            <w:tcBorders>
              <w:top w:val="single" w:sz="8" w:space="0" w:color="auto"/>
              <w:left w:val="single" w:sz="4" w:space="0" w:color="auto"/>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793"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(17,708,665)</w:t>
            </w:r>
          </w:p>
        </w:tc>
        <w:tc>
          <w:tcPr>
            <w:tcW w:w="310"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4538"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xml:space="preserve">Balance at 31 March </w:t>
            </w:r>
          </w:p>
        </w:tc>
        <w:tc>
          <w:tcPr>
            <w:tcW w:w="1620"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(12,710,246)</w:t>
            </w:r>
          </w:p>
        </w:tc>
        <w:tc>
          <w:tcPr>
            <w:tcW w:w="308"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175"/>
        </w:trPr>
        <w:tc>
          <w:tcPr>
            <w:tcW w:w="308" w:type="dxa"/>
            <w:tcBorders>
              <w:top w:val="nil"/>
              <w:left w:val="single" w:sz="4" w:space="0" w:color="auto"/>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793"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310"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4538"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20"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308" w:type="dxa"/>
            <w:tcBorders>
              <w:top w:val="nil"/>
              <w:left w:val="nil"/>
              <w:bottom w:val="single" w:sz="4" w:space="0" w:color="auto"/>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bl>
    <w:p w:rsidR="00F23FFF" w:rsidRDefault="00F23FFF">
      <w:pPr>
        <w:rPr>
          <w:rFonts w:ascii="Arial" w:hAnsi="Arial" w:cs="Arial"/>
          <w:bCs/>
          <w:sz w:val="22"/>
        </w:rPr>
      </w:pPr>
    </w:p>
    <w:p w:rsidR="00FA4CC5" w:rsidRDefault="00FA4CC5">
      <w:pPr>
        <w:rPr>
          <w:rFonts w:ascii="Arial" w:hAnsi="Arial" w:cs="Arial"/>
          <w:bCs/>
          <w:sz w:val="22"/>
        </w:rPr>
      </w:pPr>
    </w:p>
    <w:p w:rsidR="00F23FFF" w:rsidRDefault="003552BC">
      <w:pPr>
        <w:rPr>
          <w:rFonts w:ascii="Arial" w:hAnsi="Arial" w:cs="Arial"/>
          <w:bCs/>
          <w:color w:val="000080"/>
          <w:sz w:val="22"/>
        </w:rPr>
      </w:pPr>
      <w:r>
        <w:rPr>
          <w:rFonts w:ascii="Arial" w:hAnsi="Arial" w:cs="Arial"/>
          <w:bCs/>
          <w:color w:val="000080"/>
          <w:sz w:val="22"/>
        </w:rPr>
        <w:t>Capital Adjustment Account</w:t>
      </w:r>
    </w:p>
    <w:p w:rsidR="00F23FFF" w:rsidRDefault="00F23FFF">
      <w:pPr>
        <w:rPr>
          <w:rFonts w:ascii="Arial" w:hAnsi="Arial" w:cs="Arial"/>
          <w:bCs/>
          <w:sz w:val="22"/>
        </w:rPr>
      </w:pPr>
    </w:p>
    <w:p w:rsidR="009922DF" w:rsidRDefault="003552BC">
      <w:pPr>
        <w:rPr>
          <w:rFonts w:ascii="Arial" w:hAnsi="Arial" w:cs="Arial"/>
          <w:bCs/>
          <w:sz w:val="22"/>
        </w:rPr>
      </w:pPr>
      <w:r>
        <w:rPr>
          <w:rFonts w:ascii="Arial" w:hAnsi="Arial" w:cs="Arial"/>
          <w:bCs/>
          <w:sz w:val="22"/>
        </w:rPr>
        <w:t>The Capital adjustment Account absorbs the timing differences arising from the different arrangements for accounting for the consumption of non-current assets and for the financing of the acquisition or enhancement of assets. The account is debited with the cost of depreciation, impairment losses or reversals and amortisation which are charged to the Comprehensive Income and Expenditure Statement, with reconciling postings from the Revaluation Reserve to convert fair value figures to a historic basis. The account is credited with amounts provided by the Council for the costs of acquisition and enhancement of assets.</w:t>
      </w:r>
    </w:p>
    <w:p w:rsidR="00FA4CC5" w:rsidRDefault="00FA4CC5">
      <w:pPr>
        <w:rPr>
          <w:rFonts w:ascii="Arial" w:hAnsi="Arial" w:cs="Arial"/>
          <w:bCs/>
          <w:sz w:val="22"/>
        </w:rPr>
      </w:pPr>
    </w:p>
    <w:p w:rsidR="00B15768" w:rsidRDefault="00B15768">
      <w:pPr>
        <w:rPr>
          <w:rFonts w:ascii="Arial" w:hAnsi="Arial" w:cs="Arial"/>
          <w:bCs/>
          <w:sz w:val="22"/>
        </w:rPr>
      </w:pPr>
    </w:p>
    <w:tbl>
      <w:tblPr>
        <w:tblW w:w="9053" w:type="dxa"/>
        <w:jc w:val="center"/>
        <w:tblInd w:w="93" w:type="dxa"/>
        <w:tblLook w:val="04A0" w:firstRow="1" w:lastRow="0" w:firstColumn="1" w:lastColumn="0" w:noHBand="0" w:noVBand="1"/>
      </w:tblPr>
      <w:tblGrid>
        <w:gridCol w:w="286"/>
        <w:gridCol w:w="1631"/>
        <w:gridCol w:w="286"/>
        <w:gridCol w:w="4647"/>
        <w:gridCol w:w="286"/>
        <w:gridCol w:w="1631"/>
        <w:gridCol w:w="286"/>
      </w:tblGrid>
      <w:tr w:rsidR="004B00AD" w:rsidRPr="004B00AD" w:rsidTr="004B00AD">
        <w:trPr>
          <w:trHeight w:val="211"/>
          <w:jc w:val="center"/>
        </w:trPr>
        <w:tc>
          <w:tcPr>
            <w:tcW w:w="286" w:type="dxa"/>
            <w:tcBorders>
              <w:top w:val="single" w:sz="4" w:space="0" w:color="auto"/>
              <w:left w:val="single" w:sz="4" w:space="0" w:color="auto"/>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286"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4647"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286"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single" w:sz="4" w:space="0" w:color="auto"/>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286" w:type="dxa"/>
            <w:tcBorders>
              <w:top w:val="single" w:sz="4" w:space="0" w:color="auto"/>
              <w:left w:val="nil"/>
              <w:bottom w:val="nil"/>
              <w:right w:val="single" w:sz="4" w:space="0" w:color="auto"/>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r>
      <w:tr w:rsidR="004B00AD" w:rsidRPr="004B00AD" w:rsidTr="004B00AD">
        <w:trPr>
          <w:trHeight w:val="302"/>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nil"/>
              <w:left w:val="nil"/>
              <w:bottom w:val="nil"/>
              <w:right w:val="nil"/>
            </w:tcBorders>
            <w:shd w:val="clear" w:color="auto" w:fill="auto"/>
            <w:noWrap/>
            <w:vAlign w:val="center"/>
            <w:hideMark/>
          </w:tcPr>
          <w:p w:rsidR="004B00AD" w:rsidRPr="004B00AD" w:rsidRDefault="004B00AD" w:rsidP="004B00AD">
            <w:pPr>
              <w:jc w:val="center"/>
              <w:rPr>
                <w:rFonts w:ascii="Arial" w:hAnsi="Arial" w:cs="Arial"/>
                <w:b/>
                <w:bCs/>
                <w:color w:val="000000"/>
                <w:sz w:val="22"/>
                <w:szCs w:val="22"/>
                <w:lang w:eastAsia="en-GB"/>
              </w:rPr>
            </w:pPr>
            <w:r w:rsidRPr="004B00AD">
              <w:rPr>
                <w:rFonts w:ascii="Arial" w:hAnsi="Arial" w:cs="Arial"/>
                <w:b/>
                <w:bCs/>
                <w:color w:val="000000"/>
                <w:sz w:val="22"/>
                <w:szCs w:val="22"/>
                <w:lang w:eastAsia="en-GB"/>
              </w:rPr>
              <w:t>2012-13</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286" w:type="dxa"/>
            <w:tcBorders>
              <w:top w:val="nil"/>
              <w:left w:val="nil"/>
              <w:bottom w:val="nil"/>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p>
        </w:tc>
        <w:tc>
          <w:tcPr>
            <w:tcW w:w="1631" w:type="dxa"/>
            <w:tcBorders>
              <w:top w:val="nil"/>
              <w:left w:val="nil"/>
              <w:bottom w:val="nil"/>
              <w:right w:val="nil"/>
            </w:tcBorders>
            <w:shd w:val="clear" w:color="auto" w:fill="auto"/>
            <w:noWrap/>
            <w:vAlign w:val="center"/>
            <w:hideMark/>
          </w:tcPr>
          <w:p w:rsidR="004B00AD" w:rsidRPr="004B00AD" w:rsidRDefault="004B00AD" w:rsidP="004B00AD">
            <w:pPr>
              <w:jc w:val="center"/>
              <w:rPr>
                <w:rFonts w:ascii="Arial" w:hAnsi="Arial" w:cs="Arial"/>
                <w:b/>
                <w:bCs/>
                <w:color w:val="000000"/>
                <w:sz w:val="22"/>
                <w:szCs w:val="22"/>
                <w:lang w:eastAsia="en-GB"/>
              </w:rPr>
            </w:pPr>
            <w:r w:rsidRPr="004B00AD">
              <w:rPr>
                <w:rFonts w:ascii="Arial" w:hAnsi="Arial" w:cs="Arial"/>
                <w:b/>
                <w:bCs/>
                <w:color w:val="000000"/>
                <w:sz w:val="22"/>
                <w:szCs w:val="22"/>
                <w:lang w:eastAsia="en-GB"/>
              </w:rPr>
              <w:t>2013-14</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 </w:t>
            </w:r>
          </w:p>
        </w:tc>
      </w:tr>
      <w:tr w:rsidR="004B00AD" w:rsidRPr="004B00AD" w:rsidTr="004B00AD">
        <w:trPr>
          <w:trHeight w:val="31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nil"/>
              <w:left w:val="nil"/>
              <w:bottom w:val="single" w:sz="8" w:space="0" w:color="auto"/>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w:t>
            </w:r>
          </w:p>
        </w:tc>
        <w:tc>
          <w:tcPr>
            <w:tcW w:w="286" w:type="dxa"/>
            <w:tcBorders>
              <w:top w:val="nil"/>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4647" w:type="dxa"/>
            <w:tcBorders>
              <w:top w:val="nil"/>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xml:space="preserve">  Balance at 1 April</w:t>
            </w:r>
          </w:p>
        </w:tc>
        <w:tc>
          <w:tcPr>
            <w:tcW w:w="286" w:type="dxa"/>
            <w:tcBorders>
              <w:top w:val="nil"/>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nil"/>
              <w:left w:val="nil"/>
              <w:bottom w:val="single" w:sz="8" w:space="0" w:color="auto"/>
              <w:right w:val="nil"/>
            </w:tcBorders>
            <w:shd w:val="clear" w:color="auto" w:fill="auto"/>
            <w:noWrap/>
            <w:vAlign w:val="bottom"/>
            <w:hideMark/>
          </w:tcPr>
          <w:p w:rsidR="004B00AD" w:rsidRPr="004B00AD" w:rsidRDefault="004B00AD" w:rsidP="004B00AD">
            <w:pPr>
              <w:jc w:val="center"/>
              <w:rPr>
                <w:rFonts w:ascii="Arial" w:hAnsi="Arial" w:cs="Arial"/>
                <w:b/>
                <w:bCs/>
                <w:sz w:val="22"/>
                <w:szCs w:val="22"/>
                <w:lang w:eastAsia="en-GB"/>
              </w:rPr>
            </w:pPr>
            <w:r w:rsidRPr="004B00AD">
              <w:rPr>
                <w:rFonts w:ascii="Arial" w:hAnsi="Arial" w:cs="Arial"/>
                <w:b/>
                <w:bCs/>
                <w:sz w:val="22"/>
                <w:szCs w:val="22"/>
                <w:lang w:eastAsia="en-GB"/>
              </w:rPr>
              <w:t>£</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(164,563,237)</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(172,104,072)</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Capital expenditure financed from;</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(1,968,155)</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    Capital Receipts</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(3,952,210)</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(1,737,386)</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    Revenue</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(2,678,422)</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(966,499)</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    Grants and Reserves</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(1,196,387)</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(5,512,300)</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    Major Repairs Allowance</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(5,548,118)</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(133,655)</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xml:space="preserve">    Internal financing</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(135,922)</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(586,508)</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Write out of revaluation gain on disposal</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(138,498)</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3,827,115</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Disposal of assets</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3,662,652</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10,802,042</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Depreciation, amortisation and impairment</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13,834,994</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(12,380,887)</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Reversal of impairment on revaluation</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(10,857,809)</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28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vMerge w:val="restart"/>
            <w:tcBorders>
              <w:top w:val="nil"/>
              <w:left w:val="nil"/>
              <w:bottom w:val="single" w:sz="8" w:space="0" w:color="000000"/>
              <w:right w:val="nil"/>
            </w:tcBorders>
            <w:shd w:val="clear" w:color="auto" w:fill="auto"/>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Write out of revenue expenditure funded from capital under statute and loans repaid</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02"/>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1,115,398</w:t>
            </w: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4647" w:type="dxa"/>
            <w:vMerge/>
            <w:tcBorders>
              <w:top w:val="nil"/>
              <w:left w:val="nil"/>
              <w:bottom w:val="single" w:sz="8" w:space="0" w:color="000000"/>
              <w:right w:val="nil"/>
            </w:tcBorders>
            <w:vAlign w:val="center"/>
            <w:hideMark/>
          </w:tcPr>
          <w:p w:rsidR="004B00AD" w:rsidRPr="004B00AD" w:rsidRDefault="004B00AD" w:rsidP="004B00AD">
            <w:pPr>
              <w:rPr>
                <w:rFonts w:ascii="Arial" w:hAnsi="Arial" w:cs="Arial"/>
                <w:sz w:val="22"/>
                <w:szCs w:val="22"/>
                <w:lang w:eastAsia="en-GB"/>
              </w:rPr>
            </w:pPr>
          </w:p>
        </w:tc>
        <w:tc>
          <w:tcPr>
            <w:tcW w:w="286" w:type="dxa"/>
            <w:tcBorders>
              <w:top w:val="nil"/>
              <w:left w:val="nil"/>
              <w:bottom w:val="nil"/>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p>
        </w:tc>
        <w:tc>
          <w:tcPr>
            <w:tcW w:w="1631" w:type="dxa"/>
            <w:tcBorders>
              <w:top w:val="nil"/>
              <w:left w:val="nil"/>
              <w:bottom w:val="nil"/>
              <w:right w:val="nil"/>
            </w:tcBorders>
            <w:shd w:val="clear" w:color="auto" w:fill="auto"/>
            <w:noWrap/>
            <w:vAlign w:val="bottom"/>
            <w:hideMark/>
          </w:tcPr>
          <w:p w:rsidR="004B00AD" w:rsidRPr="004B00AD" w:rsidRDefault="004B00AD" w:rsidP="004B00AD">
            <w:pPr>
              <w:jc w:val="right"/>
              <w:rPr>
                <w:rFonts w:ascii="Arial" w:hAnsi="Arial" w:cs="Arial"/>
                <w:sz w:val="22"/>
                <w:szCs w:val="22"/>
                <w:lang w:eastAsia="en-GB"/>
              </w:rPr>
            </w:pPr>
            <w:r w:rsidRPr="004B00AD">
              <w:rPr>
                <w:rFonts w:ascii="Arial" w:hAnsi="Arial" w:cs="Arial"/>
                <w:sz w:val="22"/>
                <w:szCs w:val="22"/>
                <w:lang w:eastAsia="en-GB"/>
              </w:rPr>
              <w:t>1,336,559</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317"/>
          <w:jc w:val="center"/>
        </w:trPr>
        <w:tc>
          <w:tcPr>
            <w:tcW w:w="286" w:type="dxa"/>
            <w:tcBorders>
              <w:top w:val="nil"/>
              <w:left w:val="single" w:sz="4" w:space="0" w:color="auto"/>
              <w:bottom w:val="nil"/>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(172,104,072)</w:t>
            </w:r>
          </w:p>
        </w:tc>
        <w:tc>
          <w:tcPr>
            <w:tcW w:w="286"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4647" w:type="dxa"/>
            <w:tcBorders>
              <w:top w:val="nil"/>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Balance at 31 March</w:t>
            </w:r>
          </w:p>
        </w:tc>
        <w:tc>
          <w:tcPr>
            <w:tcW w:w="286"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rPr>
                <w:rFonts w:ascii="Arial" w:hAnsi="Arial" w:cs="Arial"/>
                <w:b/>
                <w:bCs/>
                <w:sz w:val="22"/>
                <w:szCs w:val="22"/>
                <w:lang w:eastAsia="en-GB"/>
              </w:rPr>
            </w:pPr>
            <w:r w:rsidRPr="004B00AD">
              <w:rPr>
                <w:rFonts w:ascii="Arial" w:hAnsi="Arial" w:cs="Arial"/>
                <w:b/>
                <w:bCs/>
                <w:sz w:val="22"/>
                <w:szCs w:val="22"/>
                <w:lang w:eastAsia="en-GB"/>
              </w:rPr>
              <w:t> </w:t>
            </w:r>
          </w:p>
        </w:tc>
        <w:tc>
          <w:tcPr>
            <w:tcW w:w="1631" w:type="dxa"/>
            <w:tcBorders>
              <w:top w:val="single" w:sz="8" w:space="0" w:color="auto"/>
              <w:left w:val="nil"/>
              <w:bottom w:val="single" w:sz="8" w:space="0" w:color="auto"/>
              <w:right w:val="nil"/>
            </w:tcBorders>
            <w:shd w:val="clear" w:color="auto" w:fill="auto"/>
            <w:noWrap/>
            <w:vAlign w:val="bottom"/>
            <w:hideMark/>
          </w:tcPr>
          <w:p w:rsidR="004B00AD" w:rsidRPr="004B00AD" w:rsidRDefault="004B00AD" w:rsidP="004B00AD">
            <w:pPr>
              <w:jc w:val="right"/>
              <w:rPr>
                <w:rFonts w:ascii="Arial" w:hAnsi="Arial" w:cs="Arial"/>
                <w:b/>
                <w:bCs/>
                <w:sz w:val="22"/>
                <w:szCs w:val="22"/>
                <w:lang w:eastAsia="en-GB"/>
              </w:rPr>
            </w:pPr>
            <w:r w:rsidRPr="004B00AD">
              <w:rPr>
                <w:rFonts w:ascii="Arial" w:hAnsi="Arial" w:cs="Arial"/>
                <w:b/>
                <w:bCs/>
                <w:sz w:val="22"/>
                <w:szCs w:val="22"/>
                <w:lang w:eastAsia="en-GB"/>
              </w:rPr>
              <w:t>(177,777,233)</w:t>
            </w:r>
          </w:p>
        </w:tc>
        <w:tc>
          <w:tcPr>
            <w:tcW w:w="286" w:type="dxa"/>
            <w:tcBorders>
              <w:top w:val="nil"/>
              <w:left w:val="nil"/>
              <w:bottom w:val="nil"/>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r w:rsidR="004B00AD" w:rsidRPr="004B00AD" w:rsidTr="004B00AD">
        <w:trPr>
          <w:trHeight w:val="181"/>
          <w:jc w:val="center"/>
        </w:trPr>
        <w:tc>
          <w:tcPr>
            <w:tcW w:w="286" w:type="dxa"/>
            <w:tcBorders>
              <w:top w:val="nil"/>
              <w:left w:val="single" w:sz="4" w:space="0" w:color="auto"/>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286"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4647"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286"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1631" w:type="dxa"/>
            <w:tcBorders>
              <w:top w:val="nil"/>
              <w:left w:val="nil"/>
              <w:bottom w:val="single" w:sz="4" w:space="0" w:color="auto"/>
              <w:right w:val="nil"/>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c>
          <w:tcPr>
            <w:tcW w:w="286" w:type="dxa"/>
            <w:tcBorders>
              <w:top w:val="nil"/>
              <w:left w:val="nil"/>
              <w:bottom w:val="single" w:sz="4" w:space="0" w:color="auto"/>
              <w:right w:val="single" w:sz="4" w:space="0" w:color="auto"/>
            </w:tcBorders>
            <w:shd w:val="clear" w:color="auto" w:fill="auto"/>
            <w:noWrap/>
            <w:vAlign w:val="bottom"/>
            <w:hideMark/>
          </w:tcPr>
          <w:p w:rsidR="004B00AD" w:rsidRPr="004B00AD" w:rsidRDefault="004B00AD" w:rsidP="004B00AD">
            <w:pPr>
              <w:rPr>
                <w:rFonts w:ascii="Arial" w:hAnsi="Arial" w:cs="Arial"/>
                <w:sz w:val="22"/>
                <w:szCs w:val="22"/>
                <w:lang w:eastAsia="en-GB"/>
              </w:rPr>
            </w:pPr>
            <w:r w:rsidRPr="004B00AD">
              <w:rPr>
                <w:rFonts w:ascii="Arial" w:hAnsi="Arial" w:cs="Arial"/>
                <w:sz w:val="22"/>
                <w:szCs w:val="22"/>
                <w:lang w:eastAsia="en-GB"/>
              </w:rPr>
              <w:t> </w:t>
            </w:r>
          </w:p>
        </w:tc>
      </w:tr>
    </w:tbl>
    <w:p w:rsidR="00BF0F01" w:rsidRDefault="00BF0F01">
      <w:pPr>
        <w:rPr>
          <w:rFonts w:ascii="Arial" w:hAnsi="Arial" w:cs="Arial"/>
          <w:bCs/>
          <w:sz w:val="22"/>
        </w:rPr>
      </w:pPr>
    </w:p>
    <w:p w:rsidR="00F23FFF" w:rsidRDefault="003552BC">
      <w:pPr>
        <w:rPr>
          <w:rFonts w:ascii="Arial" w:hAnsi="Arial" w:cs="Arial"/>
          <w:bCs/>
          <w:color w:val="000080"/>
          <w:sz w:val="22"/>
        </w:rPr>
      </w:pPr>
      <w:r>
        <w:rPr>
          <w:rFonts w:ascii="Arial" w:hAnsi="Arial" w:cs="Arial"/>
          <w:bCs/>
          <w:color w:val="000080"/>
          <w:sz w:val="22"/>
        </w:rPr>
        <w:lastRenderedPageBreak/>
        <w:t>Pensions Reserve</w:t>
      </w:r>
    </w:p>
    <w:p w:rsidR="00F23FFF" w:rsidRDefault="00F23FFF">
      <w:pPr>
        <w:rPr>
          <w:rFonts w:ascii="Arial" w:hAnsi="Arial" w:cs="Arial"/>
          <w:bCs/>
          <w:color w:val="000080"/>
          <w:sz w:val="22"/>
        </w:rPr>
      </w:pPr>
    </w:p>
    <w:p w:rsidR="00793EBF" w:rsidRPr="00CD4FCF" w:rsidRDefault="00793EBF">
      <w:pPr>
        <w:rPr>
          <w:rFonts w:ascii="Arial" w:hAnsi="Arial" w:cs="Arial"/>
          <w:bCs/>
          <w:sz w:val="22"/>
        </w:rPr>
      </w:pPr>
      <w:r w:rsidRPr="00CD4FCF">
        <w:rPr>
          <w:rFonts w:ascii="Arial" w:hAnsi="Arial" w:cs="Arial"/>
          <w:bCs/>
          <w:sz w:val="22"/>
        </w:rPr>
        <w:t>The Pensions Reserve absorbs the timing differences arising from the different arrangements for accounting for post-employment benefits and for funding benefits in accordance with statutory provisions. The Authority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rsidR="00793EBF" w:rsidRDefault="00793EBF">
      <w:pPr>
        <w:rPr>
          <w:rFonts w:ascii="Arial" w:hAnsi="Arial" w:cs="Arial"/>
          <w:bCs/>
          <w:color w:val="000080"/>
          <w:sz w:val="22"/>
        </w:rPr>
      </w:pPr>
    </w:p>
    <w:p w:rsidR="0089209D" w:rsidRDefault="0089209D">
      <w:pPr>
        <w:rPr>
          <w:rFonts w:ascii="Arial" w:hAnsi="Arial" w:cs="Arial"/>
          <w:bCs/>
          <w:color w:val="000080"/>
          <w:sz w:val="22"/>
        </w:rPr>
      </w:pPr>
    </w:p>
    <w:p w:rsidR="0089209D" w:rsidRDefault="0089209D">
      <w:pPr>
        <w:rPr>
          <w:rFonts w:ascii="Arial" w:hAnsi="Arial" w:cs="Arial"/>
          <w:bCs/>
          <w:color w:val="000080"/>
          <w:sz w:val="22"/>
        </w:rPr>
      </w:pPr>
    </w:p>
    <w:p w:rsidR="0089209D" w:rsidRDefault="0089209D">
      <w:pPr>
        <w:rPr>
          <w:rFonts w:ascii="Arial" w:hAnsi="Arial" w:cs="Arial"/>
          <w:bCs/>
          <w:color w:val="000080"/>
          <w:sz w:val="22"/>
        </w:rPr>
      </w:pPr>
    </w:p>
    <w:p w:rsidR="0089209D" w:rsidRDefault="0089209D">
      <w:pPr>
        <w:rPr>
          <w:rFonts w:ascii="Arial" w:hAnsi="Arial" w:cs="Arial"/>
          <w:bCs/>
          <w:color w:val="000080"/>
          <w:sz w:val="22"/>
        </w:rPr>
      </w:pPr>
    </w:p>
    <w:tbl>
      <w:tblPr>
        <w:tblW w:w="9680" w:type="dxa"/>
        <w:jc w:val="center"/>
        <w:tblInd w:w="93" w:type="dxa"/>
        <w:tblLook w:val="04A0" w:firstRow="1" w:lastRow="0" w:firstColumn="1" w:lastColumn="0" w:noHBand="0" w:noVBand="1"/>
      </w:tblPr>
      <w:tblGrid>
        <w:gridCol w:w="278"/>
        <w:gridCol w:w="1342"/>
        <w:gridCol w:w="278"/>
        <w:gridCol w:w="5700"/>
        <w:gridCol w:w="880"/>
        <w:gridCol w:w="1342"/>
        <w:gridCol w:w="278"/>
      </w:tblGrid>
      <w:tr w:rsidR="00CD4FCF" w:rsidRPr="00CD4FCF" w:rsidTr="00CD4FCF">
        <w:trPr>
          <w:trHeight w:val="150"/>
          <w:jc w:val="center"/>
        </w:trPr>
        <w:tc>
          <w:tcPr>
            <w:tcW w:w="180" w:type="dxa"/>
            <w:tcBorders>
              <w:top w:val="single" w:sz="4" w:space="0" w:color="auto"/>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60"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5700"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880"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240" w:type="dxa"/>
            <w:tcBorders>
              <w:top w:val="single" w:sz="4" w:space="0" w:color="auto"/>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220" w:type="dxa"/>
            <w:tcBorders>
              <w:top w:val="single" w:sz="4" w:space="0" w:color="auto"/>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2012-13</w:t>
            </w:r>
          </w:p>
        </w:tc>
        <w:tc>
          <w:tcPr>
            <w:tcW w:w="16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2013-14</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w:t>
            </w:r>
          </w:p>
        </w:tc>
        <w:tc>
          <w:tcPr>
            <w:tcW w:w="16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p>
        </w:tc>
        <w:tc>
          <w:tcPr>
            <w:tcW w:w="16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Note</w:t>
            </w: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b/>
                <w:bCs/>
                <w:sz w:val="22"/>
                <w:szCs w:val="22"/>
                <w:lang w:eastAsia="en-GB"/>
              </w:rPr>
            </w:pPr>
            <w:r w:rsidRPr="00CD4FCF">
              <w:rPr>
                <w:rFonts w:ascii="Arial" w:hAnsi="Arial" w:cs="Arial"/>
                <w:b/>
                <w:bCs/>
                <w:sz w:val="22"/>
                <w:szCs w:val="22"/>
                <w:lang w:eastAsia="en-GB"/>
              </w:rPr>
              <w:t xml:space="preserve">39,703,000 </w:t>
            </w:r>
          </w:p>
        </w:tc>
        <w:tc>
          <w:tcPr>
            <w:tcW w:w="16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Balance at 1 April</w:t>
            </w:r>
          </w:p>
        </w:tc>
        <w:tc>
          <w:tcPr>
            <w:tcW w:w="880"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b/>
                <w:bCs/>
                <w:sz w:val="22"/>
                <w:szCs w:val="22"/>
                <w:lang w:eastAsia="en-GB"/>
              </w:rPr>
            </w:pPr>
            <w:r w:rsidRPr="00CD4FCF">
              <w:rPr>
                <w:rFonts w:ascii="Arial" w:hAnsi="Arial" w:cs="Arial"/>
                <w:b/>
                <w:bCs/>
                <w:sz w:val="22"/>
                <w:szCs w:val="22"/>
                <w:lang w:eastAsia="en-GB"/>
              </w:rPr>
              <w:t xml:space="preserve">45,399,000 </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p>
        </w:tc>
        <w:tc>
          <w:tcPr>
            <w:tcW w:w="16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40" w:type="dxa"/>
            <w:tcBorders>
              <w:top w:val="nil"/>
              <w:left w:val="nil"/>
              <w:bottom w:val="nil"/>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color w:val="000000"/>
                <w:sz w:val="22"/>
                <w:szCs w:val="22"/>
                <w:lang w:eastAsia="en-GB"/>
              </w:rPr>
            </w:pPr>
            <w:r w:rsidRPr="00CD4FCF">
              <w:rPr>
                <w:rFonts w:ascii="Arial" w:hAnsi="Arial" w:cs="Arial"/>
                <w:color w:val="000000"/>
                <w:sz w:val="22"/>
                <w:szCs w:val="22"/>
                <w:lang w:eastAsia="en-GB"/>
              </w:rPr>
              <w:t xml:space="preserve">3,977,000 </w:t>
            </w:r>
          </w:p>
        </w:tc>
        <w:tc>
          <w:tcPr>
            <w:tcW w:w="160" w:type="dxa"/>
            <w:tcBorders>
              <w:top w:val="nil"/>
              <w:left w:val="nil"/>
              <w:bottom w:val="nil"/>
              <w:right w:val="nil"/>
            </w:tcBorders>
            <w:shd w:val="clear" w:color="auto" w:fill="auto"/>
            <w:noWrap/>
            <w:vAlign w:val="center"/>
            <w:hideMark/>
          </w:tcPr>
          <w:p w:rsidR="00CD4FCF" w:rsidRPr="00CD4FCF" w:rsidRDefault="00CD4FCF" w:rsidP="00CD4FCF">
            <w:pPr>
              <w:jc w:val="center"/>
              <w:rPr>
                <w:rFonts w:ascii="Arial" w:hAnsi="Arial" w:cs="Arial"/>
                <w:b/>
                <w:bCs/>
                <w:color w:val="000000"/>
                <w:sz w:val="22"/>
                <w:szCs w:val="22"/>
                <w:lang w:eastAsia="en-GB"/>
              </w:rPr>
            </w:pPr>
          </w:p>
        </w:tc>
        <w:tc>
          <w:tcPr>
            <w:tcW w:w="6580" w:type="dxa"/>
            <w:gridSpan w:val="2"/>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Remeasurements of the net defined benefit liability/(asset)</w:t>
            </w: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color w:val="000000"/>
                <w:sz w:val="22"/>
                <w:szCs w:val="22"/>
                <w:lang w:eastAsia="en-GB"/>
              </w:rPr>
            </w:pPr>
            <w:r w:rsidRPr="00CD4FCF">
              <w:rPr>
                <w:rFonts w:ascii="Arial" w:hAnsi="Arial" w:cs="Arial"/>
                <w:color w:val="000000"/>
                <w:sz w:val="22"/>
                <w:szCs w:val="22"/>
                <w:lang w:eastAsia="en-GB"/>
              </w:rPr>
              <w:t xml:space="preserve">707,000 </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285"/>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p>
        </w:tc>
        <w:tc>
          <w:tcPr>
            <w:tcW w:w="160"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40" w:type="dxa"/>
            <w:tcBorders>
              <w:top w:val="nil"/>
              <w:left w:val="nil"/>
              <w:bottom w:val="nil"/>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114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color w:val="000000"/>
                <w:sz w:val="22"/>
                <w:szCs w:val="22"/>
                <w:lang w:eastAsia="en-GB"/>
              </w:rPr>
            </w:pPr>
            <w:r w:rsidRPr="00CD4FCF">
              <w:rPr>
                <w:rFonts w:ascii="Arial" w:hAnsi="Arial" w:cs="Arial"/>
                <w:color w:val="000000"/>
                <w:sz w:val="22"/>
                <w:szCs w:val="22"/>
                <w:lang w:eastAsia="en-GB"/>
              </w:rPr>
              <w:t xml:space="preserve">4,181,000 </w:t>
            </w:r>
          </w:p>
        </w:tc>
        <w:tc>
          <w:tcPr>
            <w:tcW w:w="160"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p>
        </w:tc>
        <w:tc>
          <w:tcPr>
            <w:tcW w:w="5700" w:type="dxa"/>
            <w:tcBorders>
              <w:top w:val="nil"/>
              <w:left w:val="nil"/>
              <w:bottom w:val="nil"/>
              <w:right w:val="nil"/>
            </w:tcBorders>
            <w:shd w:val="clear" w:color="auto" w:fill="auto"/>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Reversal of items relating to retirement benefits debited or credited to the Surplus or Deficit on the Provision of Services in the Comprehensive Income and Expenditure Account</w:t>
            </w:r>
          </w:p>
        </w:tc>
        <w:tc>
          <w:tcPr>
            <w:tcW w:w="88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color w:val="000000"/>
                <w:sz w:val="22"/>
                <w:szCs w:val="22"/>
                <w:lang w:eastAsia="en-GB"/>
              </w:rPr>
            </w:pPr>
            <w:r w:rsidRPr="00CD4FCF">
              <w:rPr>
                <w:rFonts w:ascii="Arial" w:hAnsi="Arial" w:cs="Arial"/>
                <w:color w:val="000000"/>
                <w:sz w:val="22"/>
                <w:szCs w:val="22"/>
                <w:lang w:eastAsia="en-GB"/>
              </w:rPr>
              <w:t xml:space="preserve">4,705,000 </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285"/>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p>
        </w:tc>
        <w:tc>
          <w:tcPr>
            <w:tcW w:w="16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40" w:type="dxa"/>
            <w:tcBorders>
              <w:top w:val="nil"/>
              <w:left w:val="nil"/>
              <w:bottom w:val="nil"/>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57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(2,462,000)</w:t>
            </w:r>
          </w:p>
        </w:tc>
        <w:tc>
          <w:tcPr>
            <w:tcW w:w="160"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p>
        </w:tc>
        <w:tc>
          <w:tcPr>
            <w:tcW w:w="5700" w:type="dxa"/>
            <w:tcBorders>
              <w:top w:val="nil"/>
              <w:left w:val="nil"/>
              <w:bottom w:val="nil"/>
              <w:right w:val="nil"/>
            </w:tcBorders>
            <w:shd w:val="clear" w:color="auto" w:fill="auto"/>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Employers pensions contributions and direct payments to pensioners payable in the year</w:t>
            </w:r>
          </w:p>
        </w:tc>
        <w:tc>
          <w:tcPr>
            <w:tcW w:w="88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sz w:val="22"/>
                <w:szCs w:val="22"/>
                <w:lang w:eastAsia="en-GB"/>
              </w:rPr>
            </w:pPr>
            <w:r w:rsidRPr="00CD4FCF">
              <w:rPr>
                <w:rFonts w:ascii="Arial" w:hAnsi="Arial" w:cs="Arial"/>
                <w:sz w:val="22"/>
                <w:szCs w:val="22"/>
                <w:lang w:eastAsia="en-GB"/>
              </w:rPr>
              <w:t>(2,566,000)</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00"/>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nil"/>
              <w:right w:val="nil"/>
            </w:tcBorders>
            <w:shd w:val="clear" w:color="auto" w:fill="auto"/>
            <w:noWrap/>
            <w:vAlign w:val="bottom"/>
            <w:hideMark/>
          </w:tcPr>
          <w:p w:rsidR="00CD4FCF" w:rsidRPr="00CD4FCF" w:rsidRDefault="00CD4FCF" w:rsidP="00CD4FCF">
            <w:pPr>
              <w:jc w:val="right"/>
              <w:rPr>
                <w:rFonts w:ascii="Arial" w:hAnsi="Arial" w:cs="Arial"/>
                <w:color w:val="000000"/>
                <w:sz w:val="22"/>
                <w:szCs w:val="22"/>
                <w:lang w:eastAsia="en-GB"/>
              </w:rPr>
            </w:pPr>
          </w:p>
        </w:tc>
        <w:tc>
          <w:tcPr>
            <w:tcW w:w="160" w:type="dxa"/>
            <w:tcBorders>
              <w:top w:val="nil"/>
              <w:left w:val="nil"/>
              <w:bottom w:val="nil"/>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p>
        </w:tc>
        <w:tc>
          <w:tcPr>
            <w:tcW w:w="570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880"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40" w:type="dxa"/>
            <w:tcBorders>
              <w:top w:val="nil"/>
              <w:left w:val="nil"/>
              <w:bottom w:val="nil"/>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315"/>
          <w:jc w:val="center"/>
        </w:trPr>
        <w:tc>
          <w:tcPr>
            <w:tcW w:w="180"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jc w:val="right"/>
              <w:rPr>
                <w:rFonts w:ascii="Arial" w:hAnsi="Arial" w:cs="Arial"/>
                <w:b/>
                <w:bCs/>
                <w:sz w:val="22"/>
                <w:szCs w:val="22"/>
                <w:lang w:eastAsia="en-GB"/>
              </w:rPr>
            </w:pPr>
            <w:r w:rsidRPr="00CD4FCF">
              <w:rPr>
                <w:rFonts w:ascii="Arial" w:hAnsi="Arial" w:cs="Arial"/>
                <w:b/>
                <w:bCs/>
                <w:sz w:val="22"/>
                <w:szCs w:val="22"/>
                <w:lang w:eastAsia="en-GB"/>
              </w:rPr>
              <w:t xml:space="preserve">45,399,000 </w:t>
            </w:r>
          </w:p>
        </w:tc>
        <w:tc>
          <w:tcPr>
            <w:tcW w:w="160"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 </w:t>
            </w:r>
          </w:p>
        </w:tc>
        <w:tc>
          <w:tcPr>
            <w:tcW w:w="5700"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Balance at 31 March</w:t>
            </w:r>
          </w:p>
        </w:tc>
        <w:tc>
          <w:tcPr>
            <w:tcW w:w="880"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 xml:space="preserve">23 </w:t>
            </w:r>
          </w:p>
        </w:tc>
        <w:tc>
          <w:tcPr>
            <w:tcW w:w="1240"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jc w:val="right"/>
              <w:rPr>
                <w:rFonts w:ascii="Arial" w:hAnsi="Arial" w:cs="Arial"/>
                <w:b/>
                <w:bCs/>
                <w:sz w:val="22"/>
                <w:szCs w:val="22"/>
                <w:lang w:eastAsia="en-GB"/>
              </w:rPr>
            </w:pPr>
            <w:r w:rsidRPr="00CD4FCF">
              <w:rPr>
                <w:rFonts w:ascii="Arial" w:hAnsi="Arial" w:cs="Arial"/>
                <w:b/>
                <w:bCs/>
                <w:sz w:val="22"/>
                <w:szCs w:val="22"/>
                <w:lang w:eastAsia="en-GB"/>
              </w:rPr>
              <w:t xml:space="preserve">48,245,000 </w:t>
            </w:r>
          </w:p>
        </w:tc>
        <w:tc>
          <w:tcPr>
            <w:tcW w:w="220"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r w:rsidR="00CD4FCF" w:rsidRPr="00CD4FCF" w:rsidTr="00CD4FCF">
        <w:trPr>
          <w:trHeight w:val="285"/>
          <w:jc w:val="center"/>
        </w:trPr>
        <w:tc>
          <w:tcPr>
            <w:tcW w:w="180" w:type="dxa"/>
            <w:tcBorders>
              <w:top w:val="nil"/>
              <w:left w:val="single" w:sz="4" w:space="0" w:color="auto"/>
              <w:bottom w:val="single" w:sz="4" w:space="0" w:color="auto"/>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300" w:type="dxa"/>
            <w:tcBorders>
              <w:top w:val="nil"/>
              <w:left w:val="nil"/>
              <w:bottom w:val="single" w:sz="4" w:space="0" w:color="auto"/>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r w:rsidRPr="00CD4FCF">
              <w:rPr>
                <w:rFonts w:ascii="Arial" w:hAnsi="Arial" w:cs="Arial"/>
                <w:color w:val="000000"/>
                <w:sz w:val="22"/>
                <w:szCs w:val="22"/>
                <w:lang w:eastAsia="en-GB"/>
              </w:rPr>
              <w:t> </w:t>
            </w:r>
          </w:p>
        </w:tc>
        <w:tc>
          <w:tcPr>
            <w:tcW w:w="160" w:type="dxa"/>
            <w:tcBorders>
              <w:top w:val="nil"/>
              <w:left w:val="nil"/>
              <w:bottom w:val="single" w:sz="4" w:space="0" w:color="auto"/>
              <w:right w:val="nil"/>
            </w:tcBorders>
            <w:shd w:val="clear" w:color="auto" w:fill="auto"/>
            <w:noWrap/>
            <w:vAlign w:val="center"/>
            <w:hideMark/>
          </w:tcPr>
          <w:p w:rsidR="00CD4FCF" w:rsidRPr="00CD4FCF" w:rsidRDefault="00CD4FCF" w:rsidP="00CD4FCF">
            <w:pPr>
              <w:rPr>
                <w:rFonts w:ascii="Arial" w:hAnsi="Arial" w:cs="Arial"/>
                <w:color w:val="000000"/>
                <w:sz w:val="22"/>
                <w:szCs w:val="22"/>
                <w:lang w:eastAsia="en-GB"/>
              </w:rPr>
            </w:pPr>
            <w:r w:rsidRPr="00CD4FCF">
              <w:rPr>
                <w:rFonts w:ascii="Arial" w:hAnsi="Arial" w:cs="Arial"/>
                <w:color w:val="000000"/>
                <w:sz w:val="22"/>
                <w:szCs w:val="22"/>
                <w:lang w:eastAsia="en-GB"/>
              </w:rPr>
              <w:t> </w:t>
            </w:r>
          </w:p>
        </w:tc>
        <w:tc>
          <w:tcPr>
            <w:tcW w:w="5700"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880"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240" w:type="dxa"/>
            <w:tcBorders>
              <w:top w:val="nil"/>
              <w:left w:val="nil"/>
              <w:bottom w:val="single" w:sz="4" w:space="0" w:color="auto"/>
              <w:right w:val="nil"/>
            </w:tcBorders>
            <w:shd w:val="clear" w:color="auto" w:fill="auto"/>
            <w:noWrap/>
            <w:vAlign w:val="center"/>
            <w:hideMark/>
          </w:tcPr>
          <w:p w:rsidR="00CD4FCF" w:rsidRPr="00CD4FCF" w:rsidRDefault="00CD4FCF" w:rsidP="00CD4FCF">
            <w:pPr>
              <w:jc w:val="right"/>
              <w:rPr>
                <w:rFonts w:ascii="Arial" w:hAnsi="Arial" w:cs="Arial"/>
                <w:color w:val="000000"/>
                <w:sz w:val="22"/>
                <w:szCs w:val="22"/>
                <w:lang w:eastAsia="en-GB"/>
              </w:rPr>
            </w:pPr>
            <w:r w:rsidRPr="00CD4FCF">
              <w:rPr>
                <w:rFonts w:ascii="Arial" w:hAnsi="Arial" w:cs="Arial"/>
                <w:color w:val="000000"/>
                <w:sz w:val="22"/>
                <w:szCs w:val="22"/>
                <w:lang w:eastAsia="en-GB"/>
              </w:rPr>
              <w:t> </w:t>
            </w:r>
          </w:p>
        </w:tc>
        <w:tc>
          <w:tcPr>
            <w:tcW w:w="220" w:type="dxa"/>
            <w:tcBorders>
              <w:top w:val="nil"/>
              <w:left w:val="nil"/>
              <w:bottom w:val="single" w:sz="4" w:space="0" w:color="auto"/>
              <w:right w:val="single" w:sz="4" w:space="0" w:color="auto"/>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r>
    </w:tbl>
    <w:p w:rsidR="00F23FFF" w:rsidRDefault="00F23FFF">
      <w:pPr>
        <w:rPr>
          <w:rFonts w:ascii="Arial" w:hAnsi="Arial" w:cs="Arial"/>
          <w:bCs/>
          <w:sz w:val="22"/>
        </w:rPr>
      </w:pPr>
    </w:p>
    <w:p w:rsidR="00F947E7" w:rsidRDefault="00F947E7">
      <w:pPr>
        <w:rPr>
          <w:rFonts w:ascii="Arial" w:hAnsi="Arial" w:cs="Arial"/>
          <w:bCs/>
          <w:sz w:val="22"/>
        </w:rPr>
      </w:pPr>
    </w:p>
    <w:p w:rsidR="0089209D" w:rsidRDefault="0089209D">
      <w:pPr>
        <w:rPr>
          <w:rFonts w:ascii="Arial" w:hAnsi="Arial" w:cs="Arial"/>
          <w:bCs/>
          <w:sz w:val="22"/>
        </w:rPr>
      </w:pPr>
    </w:p>
    <w:p w:rsidR="0089209D" w:rsidRDefault="0089209D">
      <w:pPr>
        <w:rPr>
          <w:rFonts w:ascii="Arial" w:hAnsi="Arial" w:cs="Arial"/>
          <w:bCs/>
          <w:sz w:val="22"/>
        </w:rPr>
      </w:pPr>
    </w:p>
    <w:p w:rsidR="0089209D" w:rsidRDefault="0089209D">
      <w:pPr>
        <w:rPr>
          <w:rFonts w:ascii="Arial" w:hAnsi="Arial" w:cs="Arial"/>
          <w:bCs/>
          <w:sz w:val="22"/>
        </w:rPr>
      </w:pPr>
    </w:p>
    <w:p w:rsidR="00F23FFF" w:rsidRDefault="003552BC">
      <w:pPr>
        <w:rPr>
          <w:rFonts w:ascii="Arial" w:hAnsi="Arial" w:cs="Arial"/>
          <w:bCs/>
          <w:color w:val="000080"/>
          <w:sz w:val="22"/>
        </w:rPr>
      </w:pPr>
      <w:r>
        <w:rPr>
          <w:rFonts w:ascii="Arial" w:hAnsi="Arial" w:cs="Arial"/>
          <w:bCs/>
          <w:color w:val="000080"/>
          <w:sz w:val="22"/>
        </w:rPr>
        <w:t>Collection Fund Adjustment Account</w:t>
      </w:r>
    </w:p>
    <w:p w:rsidR="00F23FFF" w:rsidRDefault="00F23FFF">
      <w:pPr>
        <w:rPr>
          <w:rFonts w:ascii="Arial" w:hAnsi="Arial" w:cs="Arial"/>
          <w:bCs/>
          <w:sz w:val="22"/>
        </w:rPr>
      </w:pPr>
    </w:p>
    <w:p w:rsidR="00F23FFF" w:rsidRDefault="003552BC">
      <w:pPr>
        <w:rPr>
          <w:rFonts w:ascii="Arial" w:hAnsi="Arial" w:cs="Arial"/>
          <w:bCs/>
          <w:sz w:val="22"/>
        </w:rPr>
      </w:pPr>
      <w:r>
        <w:rPr>
          <w:rFonts w:ascii="Arial" w:hAnsi="Arial" w:cs="Arial"/>
          <w:bCs/>
          <w:sz w:val="22"/>
        </w:rPr>
        <w:t xml:space="preserve">The Collection Fund Adjustment Account manages the differences arising from the recognition of council tax </w:t>
      </w:r>
      <w:r w:rsidR="004B00AD">
        <w:rPr>
          <w:rFonts w:ascii="Arial" w:hAnsi="Arial" w:cs="Arial"/>
          <w:bCs/>
          <w:sz w:val="22"/>
        </w:rPr>
        <w:t xml:space="preserve">and non-domestic rates </w:t>
      </w:r>
      <w:r>
        <w:rPr>
          <w:rFonts w:ascii="Arial" w:hAnsi="Arial" w:cs="Arial"/>
          <w:bCs/>
          <w:sz w:val="22"/>
        </w:rPr>
        <w:t xml:space="preserve">income in the Comprehensive Income and Expenditure Statement as it falls due from council tax payers </w:t>
      </w:r>
      <w:r w:rsidR="009A7B3B">
        <w:rPr>
          <w:rFonts w:ascii="Arial" w:hAnsi="Arial" w:cs="Arial"/>
          <w:bCs/>
          <w:sz w:val="22"/>
        </w:rPr>
        <w:t xml:space="preserve">and business rates payers </w:t>
      </w:r>
      <w:r>
        <w:rPr>
          <w:rFonts w:ascii="Arial" w:hAnsi="Arial" w:cs="Arial"/>
          <w:bCs/>
          <w:sz w:val="22"/>
        </w:rPr>
        <w:t>compared with the statutory arrangements for paying across amounts to the General Fund from the Collection Fund.</w:t>
      </w:r>
    </w:p>
    <w:p w:rsidR="001A4476" w:rsidRDefault="001A4476">
      <w:pPr>
        <w:rPr>
          <w:rFonts w:ascii="Arial" w:hAnsi="Arial" w:cs="Arial"/>
          <w:bCs/>
          <w:sz w:val="22"/>
        </w:rPr>
      </w:pPr>
    </w:p>
    <w:p w:rsidR="00FA4CC5" w:rsidRDefault="00FA4CC5">
      <w:pPr>
        <w:rPr>
          <w:rFonts w:ascii="Arial" w:hAnsi="Arial" w:cs="Arial"/>
          <w:bCs/>
          <w:sz w:val="22"/>
        </w:rPr>
      </w:pPr>
    </w:p>
    <w:p w:rsidR="00B568EB" w:rsidRDefault="00B568EB">
      <w:pPr>
        <w:rPr>
          <w:rFonts w:ascii="Arial" w:hAnsi="Arial" w:cs="Arial"/>
          <w:bCs/>
          <w:sz w:val="22"/>
        </w:rPr>
      </w:pPr>
    </w:p>
    <w:tbl>
      <w:tblPr>
        <w:tblW w:w="8925" w:type="dxa"/>
        <w:jc w:val="center"/>
        <w:tblInd w:w="93" w:type="dxa"/>
        <w:tblLook w:val="04A0" w:firstRow="1" w:lastRow="0" w:firstColumn="1" w:lastColumn="0" w:noHBand="0" w:noVBand="1"/>
      </w:tblPr>
      <w:tblGrid>
        <w:gridCol w:w="294"/>
        <w:gridCol w:w="1123"/>
        <w:gridCol w:w="498"/>
        <w:gridCol w:w="5052"/>
        <w:gridCol w:w="369"/>
        <w:gridCol w:w="1295"/>
        <w:gridCol w:w="294"/>
      </w:tblGrid>
      <w:tr w:rsidR="00CD4FCF" w:rsidRPr="00CD4FCF" w:rsidTr="006711FA">
        <w:trPr>
          <w:trHeight w:val="137"/>
          <w:jc w:val="center"/>
        </w:trPr>
        <w:tc>
          <w:tcPr>
            <w:tcW w:w="294" w:type="dxa"/>
            <w:tcBorders>
              <w:top w:val="single" w:sz="4" w:space="0" w:color="auto"/>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single" w:sz="4" w:space="0" w:color="auto"/>
              <w:left w:val="nil"/>
              <w:bottom w:val="nil"/>
              <w:right w:val="nil"/>
            </w:tcBorders>
            <w:shd w:val="clear" w:color="auto" w:fill="auto"/>
            <w:noWrap/>
            <w:vAlign w:val="bottom"/>
            <w:hideMark/>
          </w:tcPr>
          <w:p w:rsidR="00CD4FCF" w:rsidRPr="00CD4FCF" w:rsidRDefault="00CD4FCF" w:rsidP="00CD4FCF">
            <w:pPr>
              <w:jc w:val="center"/>
              <w:rPr>
                <w:lang w:eastAsia="en-GB"/>
              </w:rPr>
            </w:pPr>
            <w:r w:rsidRPr="00CD4FCF">
              <w:rPr>
                <w:lang w:eastAsia="en-GB"/>
              </w:rPr>
              <w:t> </w:t>
            </w:r>
          </w:p>
        </w:tc>
        <w:tc>
          <w:tcPr>
            <w:tcW w:w="498" w:type="dxa"/>
            <w:tcBorders>
              <w:top w:val="single" w:sz="4" w:space="0" w:color="auto"/>
              <w:left w:val="nil"/>
              <w:bottom w:val="nil"/>
              <w:right w:val="nil"/>
            </w:tcBorders>
            <w:shd w:val="clear" w:color="auto" w:fill="auto"/>
            <w:noWrap/>
            <w:vAlign w:val="bottom"/>
            <w:hideMark/>
          </w:tcPr>
          <w:p w:rsidR="00CD4FCF" w:rsidRPr="00CD4FCF" w:rsidRDefault="00CD4FCF" w:rsidP="00CD4FCF">
            <w:pPr>
              <w:jc w:val="center"/>
              <w:rPr>
                <w:lang w:eastAsia="en-GB"/>
              </w:rPr>
            </w:pPr>
            <w:r w:rsidRPr="00CD4FCF">
              <w:rPr>
                <w:lang w:eastAsia="en-GB"/>
              </w:rPr>
              <w:t> </w:t>
            </w:r>
          </w:p>
        </w:tc>
        <w:tc>
          <w:tcPr>
            <w:tcW w:w="5052" w:type="dxa"/>
            <w:tcBorders>
              <w:top w:val="single" w:sz="4" w:space="0" w:color="auto"/>
              <w:left w:val="nil"/>
              <w:bottom w:val="nil"/>
              <w:right w:val="nil"/>
            </w:tcBorders>
            <w:shd w:val="clear" w:color="auto" w:fill="auto"/>
            <w:noWrap/>
            <w:vAlign w:val="bottom"/>
            <w:hideMark/>
          </w:tcPr>
          <w:p w:rsidR="00CD4FCF" w:rsidRPr="00CD4FCF" w:rsidRDefault="00CD4FCF" w:rsidP="00CD4FCF">
            <w:pPr>
              <w:rPr>
                <w:lang w:eastAsia="en-GB"/>
              </w:rPr>
            </w:pPr>
            <w:r w:rsidRPr="00CD4FCF">
              <w:rPr>
                <w:lang w:eastAsia="en-GB"/>
              </w:rPr>
              <w:t> </w:t>
            </w:r>
          </w:p>
        </w:tc>
        <w:tc>
          <w:tcPr>
            <w:tcW w:w="369" w:type="dxa"/>
            <w:tcBorders>
              <w:top w:val="single" w:sz="4" w:space="0" w:color="auto"/>
              <w:left w:val="nil"/>
              <w:bottom w:val="nil"/>
              <w:right w:val="nil"/>
            </w:tcBorders>
            <w:shd w:val="clear" w:color="auto" w:fill="auto"/>
            <w:noWrap/>
            <w:vAlign w:val="bottom"/>
            <w:hideMark/>
          </w:tcPr>
          <w:p w:rsidR="00CD4FCF" w:rsidRPr="00CD4FCF" w:rsidRDefault="00CD4FCF" w:rsidP="00CD4FCF">
            <w:pPr>
              <w:rPr>
                <w:lang w:eastAsia="en-GB"/>
              </w:rPr>
            </w:pPr>
            <w:r w:rsidRPr="00CD4FCF">
              <w:rPr>
                <w:lang w:eastAsia="en-GB"/>
              </w:rPr>
              <w:t> </w:t>
            </w:r>
          </w:p>
        </w:tc>
        <w:tc>
          <w:tcPr>
            <w:tcW w:w="1295" w:type="dxa"/>
            <w:tcBorders>
              <w:top w:val="single" w:sz="4" w:space="0" w:color="auto"/>
              <w:left w:val="nil"/>
              <w:bottom w:val="nil"/>
              <w:right w:val="nil"/>
            </w:tcBorders>
            <w:shd w:val="clear" w:color="auto" w:fill="auto"/>
            <w:noWrap/>
            <w:vAlign w:val="bottom"/>
            <w:hideMark/>
          </w:tcPr>
          <w:p w:rsidR="00CD4FCF" w:rsidRPr="00CD4FCF" w:rsidRDefault="00CD4FCF" w:rsidP="00CD4FCF">
            <w:pPr>
              <w:jc w:val="center"/>
              <w:rPr>
                <w:lang w:eastAsia="en-GB"/>
              </w:rPr>
            </w:pPr>
            <w:r w:rsidRPr="00CD4FCF">
              <w:rPr>
                <w:lang w:eastAsia="en-GB"/>
              </w:rPr>
              <w:t> </w:t>
            </w:r>
          </w:p>
        </w:tc>
        <w:tc>
          <w:tcPr>
            <w:tcW w:w="294" w:type="dxa"/>
            <w:tcBorders>
              <w:top w:val="single" w:sz="4" w:space="0" w:color="auto"/>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304"/>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2012-13</w:t>
            </w: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2013-14</w:t>
            </w: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304"/>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w:t>
            </w: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w:t>
            </w: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320"/>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single" w:sz="8" w:space="0" w:color="auto"/>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42,132</w:t>
            </w:r>
          </w:p>
        </w:tc>
        <w:tc>
          <w:tcPr>
            <w:tcW w:w="498" w:type="dxa"/>
            <w:tcBorders>
              <w:top w:val="nil"/>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 </w:t>
            </w:r>
          </w:p>
        </w:tc>
        <w:tc>
          <w:tcPr>
            <w:tcW w:w="5052" w:type="dxa"/>
            <w:tcBorders>
              <w:top w:val="nil"/>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 xml:space="preserve">  Balance at 1 April</w:t>
            </w:r>
          </w:p>
        </w:tc>
        <w:tc>
          <w:tcPr>
            <w:tcW w:w="369" w:type="dxa"/>
            <w:tcBorders>
              <w:top w:val="nil"/>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 </w:t>
            </w:r>
          </w:p>
        </w:tc>
        <w:tc>
          <w:tcPr>
            <w:tcW w:w="1295" w:type="dxa"/>
            <w:tcBorders>
              <w:top w:val="nil"/>
              <w:left w:val="nil"/>
              <w:bottom w:val="single" w:sz="8" w:space="0" w:color="auto"/>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(833)</w:t>
            </w: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369"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420" w:type="dxa"/>
            <w:gridSpan w:val="2"/>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Amount by which business rate income credited</w:t>
            </w: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420" w:type="dxa"/>
            <w:gridSpan w:val="2"/>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xml:space="preserve">to the Comprehensive Income and Expenditure </w:t>
            </w: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420" w:type="dxa"/>
            <w:gridSpan w:val="2"/>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xml:space="preserve">Statement is different from business rate income </w:t>
            </w: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xml:space="preserve">calculated for the year in accordance with </w:t>
            </w:r>
          </w:p>
        </w:tc>
        <w:tc>
          <w:tcPr>
            <w:tcW w:w="369"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r w:rsidRPr="00CD4FCF">
              <w:rPr>
                <w:rFonts w:ascii="Arial" w:hAnsi="Arial" w:cs="Arial"/>
                <w:sz w:val="22"/>
                <w:szCs w:val="22"/>
                <w:lang w:eastAsia="en-GB"/>
              </w:rPr>
              <w:t>0</w:t>
            </w: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statutory requirements</w:t>
            </w:r>
          </w:p>
        </w:tc>
        <w:tc>
          <w:tcPr>
            <w:tcW w:w="369"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r w:rsidRPr="00CD4FCF">
              <w:rPr>
                <w:rFonts w:ascii="Arial" w:hAnsi="Arial" w:cs="Arial"/>
                <w:sz w:val="22"/>
                <w:szCs w:val="22"/>
                <w:lang w:eastAsia="en-GB"/>
              </w:rPr>
              <w:t>3,019,528</w:t>
            </w: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369"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Amount by which council tax income credited</w:t>
            </w: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420" w:type="dxa"/>
            <w:gridSpan w:val="2"/>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xml:space="preserve">to the Comprehensive Income and Expenditure </w:t>
            </w: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xml:space="preserve">Statement is different from council tax income </w:t>
            </w: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xml:space="preserve">calculated for the year in accordance with </w:t>
            </w: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89"/>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r w:rsidRPr="00CD4FCF">
              <w:rPr>
                <w:rFonts w:ascii="Arial" w:hAnsi="Arial" w:cs="Arial"/>
                <w:sz w:val="22"/>
                <w:szCs w:val="22"/>
                <w:lang w:eastAsia="en-GB"/>
              </w:rPr>
              <w:t>(42,965)</w:t>
            </w:r>
          </w:p>
        </w:tc>
        <w:tc>
          <w:tcPr>
            <w:tcW w:w="498"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statutory requirements</w:t>
            </w: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rFonts w:ascii="Arial" w:hAnsi="Arial" w:cs="Arial"/>
                <w:sz w:val="22"/>
                <w:szCs w:val="22"/>
                <w:lang w:eastAsia="en-GB"/>
              </w:rPr>
            </w:pPr>
            <w:r w:rsidRPr="00CD4FCF">
              <w:rPr>
                <w:rFonts w:ascii="Arial" w:hAnsi="Arial" w:cs="Arial"/>
                <w:sz w:val="22"/>
                <w:szCs w:val="22"/>
                <w:lang w:eastAsia="en-GB"/>
              </w:rPr>
              <w:t>(101,260)</w:t>
            </w: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274"/>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nil"/>
              <w:right w:val="nil"/>
            </w:tcBorders>
            <w:shd w:val="clear" w:color="auto" w:fill="auto"/>
            <w:noWrap/>
            <w:vAlign w:val="bottom"/>
            <w:hideMark/>
          </w:tcPr>
          <w:p w:rsidR="00CD4FCF" w:rsidRPr="00CD4FCF" w:rsidRDefault="00CD4FCF" w:rsidP="00CD4FCF">
            <w:pPr>
              <w:jc w:val="center"/>
              <w:rPr>
                <w:lang w:eastAsia="en-GB"/>
              </w:rPr>
            </w:pPr>
          </w:p>
        </w:tc>
        <w:tc>
          <w:tcPr>
            <w:tcW w:w="498"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5052"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369" w:type="dxa"/>
            <w:tcBorders>
              <w:top w:val="nil"/>
              <w:left w:val="nil"/>
              <w:bottom w:val="nil"/>
              <w:right w:val="nil"/>
            </w:tcBorders>
            <w:shd w:val="clear" w:color="auto" w:fill="auto"/>
            <w:noWrap/>
            <w:vAlign w:val="bottom"/>
            <w:hideMark/>
          </w:tcPr>
          <w:p w:rsidR="00CD4FCF" w:rsidRPr="00CD4FCF" w:rsidRDefault="00CD4FCF" w:rsidP="00CD4FCF">
            <w:pPr>
              <w:rPr>
                <w:lang w:eastAsia="en-GB"/>
              </w:rPr>
            </w:pPr>
          </w:p>
        </w:tc>
        <w:tc>
          <w:tcPr>
            <w:tcW w:w="1295" w:type="dxa"/>
            <w:tcBorders>
              <w:top w:val="nil"/>
              <w:left w:val="nil"/>
              <w:bottom w:val="nil"/>
              <w:right w:val="nil"/>
            </w:tcBorders>
            <w:shd w:val="clear" w:color="auto" w:fill="auto"/>
            <w:noWrap/>
            <w:vAlign w:val="bottom"/>
            <w:hideMark/>
          </w:tcPr>
          <w:p w:rsidR="00CD4FCF" w:rsidRPr="00CD4FCF" w:rsidRDefault="00CD4FCF" w:rsidP="00CD4FCF">
            <w:pPr>
              <w:jc w:val="center"/>
              <w:rPr>
                <w:lang w:eastAsia="en-GB"/>
              </w:rPr>
            </w:pP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320"/>
          <w:jc w:val="center"/>
        </w:trPr>
        <w:tc>
          <w:tcPr>
            <w:tcW w:w="294" w:type="dxa"/>
            <w:tcBorders>
              <w:top w:val="nil"/>
              <w:left w:val="single" w:sz="4" w:space="0" w:color="auto"/>
              <w:bottom w:val="nil"/>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(833)</w:t>
            </w:r>
          </w:p>
        </w:tc>
        <w:tc>
          <w:tcPr>
            <w:tcW w:w="498"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5052"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b/>
                <w:bCs/>
                <w:sz w:val="22"/>
                <w:szCs w:val="22"/>
                <w:lang w:eastAsia="en-GB"/>
              </w:rPr>
            </w:pPr>
            <w:r w:rsidRPr="00CD4FCF">
              <w:rPr>
                <w:rFonts w:ascii="Arial" w:hAnsi="Arial" w:cs="Arial"/>
                <w:b/>
                <w:bCs/>
                <w:sz w:val="22"/>
                <w:szCs w:val="22"/>
                <w:lang w:eastAsia="en-GB"/>
              </w:rPr>
              <w:t xml:space="preserve">Balance at 31 March </w:t>
            </w:r>
          </w:p>
        </w:tc>
        <w:tc>
          <w:tcPr>
            <w:tcW w:w="369"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rPr>
                <w:rFonts w:ascii="Arial" w:hAnsi="Arial" w:cs="Arial"/>
                <w:sz w:val="22"/>
                <w:szCs w:val="22"/>
                <w:lang w:eastAsia="en-GB"/>
              </w:rPr>
            </w:pPr>
            <w:r w:rsidRPr="00CD4FCF">
              <w:rPr>
                <w:rFonts w:ascii="Arial" w:hAnsi="Arial" w:cs="Arial"/>
                <w:sz w:val="22"/>
                <w:szCs w:val="22"/>
                <w:lang w:eastAsia="en-GB"/>
              </w:rPr>
              <w:t> </w:t>
            </w:r>
          </w:p>
        </w:tc>
        <w:tc>
          <w:tcPr>
            <w:tcW w:w="1295" w:type="dxa"/>
            <w:tcBorders>
              <w:top w:val="single" w:sz="8" w:space="0" w:color="auto"/>
              <w:left w:val="nil"/>
              <w:bottom w:val="single" w:sz="8" w:space="0" w:color="auto"/>
              <w:right w:val="nil"/>
            </w:tcBorders>
            <w:shd w:val="clear" w:color="auto" w:fill="auto"/>
            <w:noWrap/>
            <w:vAlign w:val="bottom"/>
            <w:hideMark/>
          </w:tcPr>
          <w:p w:rsidR="00CD4FCF" w:rsidRPr="00CD4FCF" w:rsidRDefault="00CD4FCF" w:rsidP="00CD4FCF">
            <w:pPr>
              <w:jc w:val="center"/>
              <w:rPr>
                <w:rFonts w:ascii="Arial" w:hAnsi="Arial" w:cs="Arial"/>
                <w:b/>
                <w:bCs/>
                <w:sz w:val="22"/>
                <w:szCs w:val="22"/>
                <w:lang w:eastAsia="en-GB"/>
              </w:rPr>
            </w:pPr>
            <w:r w:rsidRPr="00CD4FCF">
              <w:rPr>
                <w:rFonts w:ascii="Arial" w:hAnsi="Arial" w:cs="Arial"/>
                <w:b/>
                <w:bCs/>
                <w:sz w:val="22"/>
                <w:szCs w:val="22"/>
                <w:lang w:eastAsia="en-GB"/>
              </w:rPr>
              <w:t>2,917,435</w:t>
            </w:r>
          </w:p>
        </w:tc>
        <w:tc>
          <w:tcPr>
            <w:tcW w:w="294" w:type="dxa"/>
            <w:tcBorders>
              <w:top w:val="nil"/>
              <w:left w:val="nil"/>
              <w:bottom w:val="nil"/>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r w:rsidR="00CD4FCF" w:rsidRPr="00CD4FCF" w:rsidTr="006711FA">
        <w:trPr>
          <w:trHeight w:val="199"/>
          <w:jc w:val="center"/>
        </w:trPr>
        <w:tc>
          <w:tcPr>
            <w:tcW w:w="294" w:type="dxa"/>
            <w:tcBorders>
              <w:top w:val="nil"/>
              <w:left w:val="single" w:sz="4" w:space="0" w:color="auto"/>
              <w:bottom w:val="single" w:sz="4" w:space="0" w:color="auto"/>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123"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498"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5052"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369"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1295" w:type="dxa"/>
            <w:tcBorders>
              <w:top w:val="nil"/>
              <w:left w:val="nil"/>
              <w:bottom w:val="single" w:sz="4" w:space="0" w:color="auto"/>
              <w:right w:val="nil"/>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c>
          <w:tcPr>
            <w:tcW w:w="294" w:type="dxa"/>
            <w:tcBorders>
              <w:top w:val="nil"/>
              <w:left w:val="nil"/>
              <w:bottom w:val="single" w:sz="4" w:space="0" w:color="auto"/>
              <w:right w:val="single" w:sz="4" w:space="0" w:color="auto"/>
            </w:tcBorders>
            <w:shd w:val="clear" w:color="auto" w:fill="auto"/>
            <w:noWrap/>
            <w:vAlign w:val="bottom"/>
            <w:hideMark/>
          </w:tcPr>
          <w:p w:rsidR="00CD4FCF" w:rsidRPr="00CD4FCF" w:rsidRDefault="00CD4FCF" w:rsidP="00CD4FCF">
            <w:pPr>
              <w:rPr>
                <w:rFonts w:ascii="Arial" w:hAnsi="Arial" w:cs="Arial"/>
                <w:lang w:eastAsia="en-GB"/>
              </w:rPr>
            </w:pPr>
            <w:r w:rsidRPr="00CD4FCF">
              <w:rPr>
                <w:rFonts w:ascii="Arial" w:hAnsi="Arial" w:cs="Arial"/>
                <w:lang w:eastAsia="en-GB"/>
              </w:rPr>
              <w:t> </w:t>
            </w:r>
          </w:p>
        </w:tc>
      </w:tr>
    </w:tbl>
    <w:p w:rsidR="00B568EB" w:rsidRDefault="00B568EB">
      <w:pPr>
        <w:pStyle w:val="xl65"/>
        <w:spacing w:before="0" w:beforeAutospacing="0" w:after="0" w:afterAutospacing="0"/>
        <w:rPr>
          <w:rFonts w:eastAsia="Times New Roman"/>
          <w:bCs/>
          <w:szCs w:val="20"/>
        </w:rPr>
      </w:pPr>
    </w:p>
    <w:p w:rsidR="007F01E7" w:rsidRDefault="007F01E7">
      <w:pPr>
        <w:rPr>
          <w:rFonts w:ascii="Arial" w:hAnsi="Arial" w:cs="Arial"/>
          <w:bCs/>
          <w:color w:val="000080"/>
          <w:sz w:val="22"/>
        </w:rPr>
      </w:pPr>
    </w:p>
    <w:p w:rsidR="007F01E7" w:rsidRDefault="007F01E7">
      <w:pPr>
        <w:rPr>
          <w:rFonts w:ascii="Arial" w:hAnsi="Arial" w:cs="Arial"/>
          <w:bCs/>
          <w:color w:val="000080"/>
          <w:sz w:val="22"/>
        </w:rPr>
      </w:pPr>
    </w:p>
    <w:p w:rsidR="00F23FFF" w:rsidRDefault="003552BC">
      <w:pPr>
        <w:rPr>
          <w:rFonts w:ascii="Arial" w:hAnsi="Arial" w:cs="Arial"/>
          <w:bCs/>
          <w:color w:val="000080"/>
          <w:sz w:val="22"/>
        </w:rPr>
      </w:pPr>
      <w:r>
        <w:rPr>
          <w:rFonts w:ascii="Arial" w:hAnsi="Arial" w:cs="Arial"/>
          <w:bCs/>
          <w:color w:val="000080"/>
          <w:sz w:val="22"/>
        </w:rPr>
        <w:t>Accumulated Absences</w:t>
      </w:r>
    </w:p>
    <w:p w:rsidR="00F23FFF" w:rsidRDefault="00F23FFF">
      <w:pPr>
        <w:rPr>
          <w:rFonts w:ascii="Arial" w:hAnsi="Arial" w:cs="Arial"/>
          <w:bCs/>
          <w:sz w:val="22"/>
        </w:rPr>
      </w:pPr>
    </w:p>
    <w:p w:rsidR="00F23FFF" w:rsidRDefault="003552BC">
      <w:pPr>
        <w:rPr>
          <w:rFonts w:ascii="Arial" w:hAnsi="Arial" w:cs="Arial"/>
          <w:bCs/>
          <w:sz w:val="22"/>
        </w:rPr>
      </w:pPr>
      <w:r>
        <w:rPr>
          <w:rFonts w:ascii="Arial" w:hAnsi="Arial" w:cs="Arial"/>
          <w:bCs/>
          <w:sz w:val="22"/>
        </w:rPr>
        <w:t>The Accumulating Compensated Absences Adjustment Account absorbs the differences that would otherwise arise on the General Fund Balance from accruing for compensated absences earned but not taken in the year. The amounts accrued at the end of each year reflect untaken leave, time off in lieu and flexitime balances. Statutory arrangements require that the impact on the General Fund Balance is neutralised by t</w:t>
      </w:r>
      <w:r w:rsidR="001A4476">
        <w:rPr>
          <w:rFonts w:ascii="Arial" w:hAnsi="Arial" w:cs="Arial"/>
          <w:bCs/>
          <w:sz w:val="22"/>
        </w:rPr>
        <w:t>ransfers to or from the Account.</w:t>
      </w:r>
    </w:p>
    <w:p w:rsidR="001A4476" w:rsidRDefault="001A4476">
      <w:pPr>
        <w:rPr>
          <w:rFonts w:ascii="Arial" w:hAnsi="Arial" w:cs="Arial"/>
          <w:bCs/>
          <w:sz w:val="22"/>
        </w:rPr>
      </w:pPr>
    </w:p>
    <w:p w:rsidR="00F23FFF" w:rsidRDefault="00F23FFF">
      <w:pPr>
        <w:rPr>
          <w:rFonts w:ascii="Arial" w:hAnsi="Arial" w:cs="Arial"/>
          <w:bCs/>
          <w:sz w:val="22"/>
        </w:rPr>
      </w:pPr>
    </w:p>
    <w:tbl>
      <w:tblPr>
        <w:tblW w:w="8163" w:type="dxa"/>
        <w:jc w:val="center"/>
        <w:tblInd w:w="93" w:type="dxa"/>
        <w:tblLook w:val="04A0" w:firstRow="1" w:lastRow="0" w:firstColumn="1" w:lastColumn="0" w:noHBand="0" w:noVBand="1"/>
      </w:tblPr>
      <w:tblGrid>
        <w:gridCol w:w="285"/>
        <w:gridCol w:w="1061"/>
        <w:gridCol w:w="356"/>
        <w:gridCol w:w="4759"/>
        <w:gridCol w:w="356"/>
        <w:gridCol w:w="1061"/>
        <w:gridCol w:w="285"/>
      </w:tblGrid>
      <w:tr w:rsidR="001A4476" w:rsidRPr="001A4476" w:rsidTr="001A4476">
        <w:trPr>
          <w:trHeight w:val="167"/>
          <w:jc w:val="center"/>
        </w:trPr>
        <w:tc>
          <w:tcPr>
            <w:tcW w:w="285" w:type="dxa"/>
            <w:tcBorders>
              <w:top w:val="single" w:sz="4" w:space="0" w:color="auto"/>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single" w:sz="4" w:space="0" w:color="auto"/>
              <w:left w:val="nil"/>
              <w:bottom w:val="nil"/>
              <w:right w:val="nil"/>
            </w:tcBorders>
            <w:shd w:val="clear" w:color="auto" w:fill="auto"/>
            <w:noWrap/>
            <w:vAlign w:val="bottom"/>
            <w:hideMark/>
          </w:tcPr>
          <w:p w:rsidR="001A4476" w:rsidRPr="001A4476" w:rsidRDefault="001A4476" w:rsidP="001A4476">
            <w:pPr>
              <w:jc w:val="center"/>
              <w:rPr>
                <w:lang w:eastAsia="en-GB"/>
              </w:rPr>
            </w:pPr>
            <w:r w:rsidRPr="001A4476">
              <w:rPr>
                <w:lang w:eastAsia="en-GB"/>
              </w:rPr>
              <w:t> </w:t>
            </w:r>
          </w:p>
        </w:tc>
        <w:tc>
          <w:tcPr>
            <w:tcW w:w="356" w:type="dxa"/>
            <w:tcBorders>
              <w:top w:val="single" w:sz="4" w:space="0" w:color="auto"/>
              <w:left w:val="nil"/>
              <w:bottom w:val="nil"/>
              <w:right w:val="nil"/>
            </w:tcBorders>
            <w:shd w:val="clear" w:color="auto" w:fill="auto"/>
            <w:noWrap/>
            <w:vAlign w:val="bottom"/>
            <w:hideMark/>
          </w:tcPr>
          <w:p w:rsidR="001A4476" w:rsidRPr="001A4476" w:rsidRDefault="001A4476" w:rsidP="001A4476">
            <w:pPr>
              <w:jc w:val="center"/>
              <w:rPr>
                <w:lang w:eastAsia="en-GB"/>
              </w:rPr>
            </w:pPr>
            <w:r w:rsidRPr="001A4476">
              <w:rPr>
                <w:lang w:eastAsia="en-GB"/>
              </w:rPr>
              <w:t> </w:t>
            </w:r>
          </w:p>
        </w:tc>
        <w:tc>
          <w:tcPr>
            <w:tcW w:w="4759" w:type="dxa"/>
            <w:tcBorders>
              <w:top w:val="single" w:sz="4" w:space="0" w:color="auto"/>
              <w:left w:val="nil"/>
              <w:bottom w:val="nil"/>
              <w:right w:val="nil"/>
            </w:tcBorders>
            <w:shd w:val="clear" w:color="auto" w:fill="auto"/>
            <w:noWrap/>
            <w:vAlign w:val="bottom"/>
            <w:hideMark/>
          </w:tcPr>
          <w:p w:rsidR="001A4476" w:rsidRPr="001A4476" w:rsidRDefault="001A4476" w:rsidP="001A4476">
            <w:pPr>
              <w:rPr>
                <w:lang w:eastAsia="en-GB"/>
              </w:rPr>
            </w:pPr>
            <w:r w:rsidRPr="001A4476">
              <w:rPr>
                <w:lang w:eastAsia="en-GB"/>
              </w:rPr>
              <w:t> </w:t>
            </w:r>
          </w:p>
        </w:tc>
        <w:tc>
          <w:tcPr>
            <w:tcW w:w="356" w:type="dxa"/>
            <w:tcBorders>
              <w:top w:val="single" w:sz="4" w:space="0" w:color="auto"/>
              <w:left w:val="nil"/>
              <w:bottom w:val="nil"/>
              <w:right w:val="nil"/>
            </w:tcBorders>
            <w:shd w:val="clear" w:color="auto" w:fill="auto"/>
            <w:noWrap/>
            <w:vAlign w:val="bottom"/>
            <w:hideMark/>
          </w:tcPr>
          <w:p w:rsidR="001A4476" w:rsidRPr="001A4476" w:rsidRDefault="001A4476" w:rsidP="001A4476">
            <w:pPr>
              <w:rPr>
                <w:lang w:eastAsia="en-GB"/>
              </w:rPr>
            </w:pPr>
            <w:r w:rsidRPr="001A4476">
              <w:rPr>
                <w:lang w:eastAsia="en-GB"/>
              </w:rPr>
              <w:t> </w:t>
            </w:r>
          </w:p>
        </w:tc>
        <w:tc>
          <w:tcPr>
            <w:tcW w:w="1061" w:type="dxa"/>
            <w:tcBorders>
              <w:top w:val="single" w:sz="4" w:space="0" w:color="auto"/>
              <w:left w:val="nil"/>
              <w:bottom w:val="nil"/>
              <w:right w:val="nil"/>
            </w:tcBorders>
            <w:shd w:val="clear" w:color="auto" w:fill="auto"/>
            <w:noWrap/>
            <w:vAlign w:val="bottom"/>
            <w:hideMark/>
          </w:tcPr>
          <w:p w:rsidR="001A4476" w:rsidRPr="001A4476" w:rsidRDefault="001A4476" w:rsidP="001A4476">
            <w:pPr>
              <w:jc w:val="center"/>
              <w:rPr>
                <w:lang w:eastAsia="en-GB"/>
              </w:rPr>
            </w:pPr>
            <w:r w:rsidRPr="001A4476">
              <w:rPr>
                <w:lang w:eastAsia="en-GB"/>
              </w:rPr>
              <w:t> </w:t>
            </w:r>
          </w:p>
        </w:tc>
        <w:tc>
          <w:tcPr>
            <w:tcW w:w="285" w:type="dxa"/>
            <w:tcBorders>
              <w:top w:val="single" w:sz="4" w:space="0" w:color="auto"/>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303"/>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jc w:val="center"/>
              <w:rPr>
                <w:rFonts w:ascii="Arial" w:hAnsi="Arial" w:cs="Arial"/>
                <w:b/>
                <w:bCs/>
                <w:sz w:val="22"/>
                <w:szCs w:val="22"/>
                <w:lang w:eastAsia="en-GB"/>
              </w:rPr>
            </w:pPr>
            <w:r w:rsidRPr="001A4476">
              <w:rPr>
                <w:rFonts w:ascii="Arial" w:hAnsi="Arial" w:cs="Arial"/>
                <w:b/>
                <w:bCs/>
                <w:sz w:val="22"/>
                <w:szCs w:val="22"/>
                <w:lang w:eastAsia="en-GB"/>
              </w:rPr>
              <w:t>2012-13</w:t>
            </w:r>
          </w:p>
        </w:tc>
        <w:tc>
          <w:tcPr>
            <w:tcW w:w="356" w:type="dxa"/>
            <w:tcBorders>
              <w:top w:val="nil"/>
              <w:left w:val="nil"/>
              <w:bottom w:val="nil"/>
              <w:right w:val="nil"/>
            </w:tcBorders>
            <w:shd w:val="clear" w:color="auto" w:fill="auto"/>
            <w:noWrap/>
            <w:vAlign w:val="bottom"/>
            <w:hideMark/>
          </w:tcPr>
          <w:p w:rsidR="001A4476" w:rsidRPr="001A4476" w:rsidRDefault="001A4476" w:rsidP="001A4476">
            <w:pPr>
              <w:jc w:val="center"/>
              <w:rPr>
                <w:lang w:eastAsia="en-GB"/>
              </w:rPr>
            </w:pPr>
          </w:p>
        </w:tc>
        <w:tc>
          <w:tcPr>
            <w:tcW w:w="4759"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jc w:val="center"/>
              <w:rPr>
                <w:rFonts w:ascii="Arial" w:hAnsi="Arial" w:cs="Arial"/>
                <w:b/>
                <w:bCs/>
                <w:sz w:val="22"/>
                <w:szCs w:val="22"/>
                <w:lang w:eastAsia="en-GB"/>
              </w:rPr>
            </w:pPr>
            <w:r w:rsidRPr="001A4476">
              <w:rPr>
                <w:rFonts w:ascii="Arial" w:hAnsi="Arial" w:cs="Arial"/>
                <w:b/>
                <w:bCs/>
                <w:sz w:val="22"/>
                <w:szCs w:val="22"/>
                <w:lang w:eastAsia="en-GB"/>
              </w:rPr>
              <w:t>2013-14</w:t>
            </w: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303"/>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jc w:val="center"/>
              <w:rPr>
                <w:rFonts w:ascii="Arial" w:hAnsi="Arial" w:cs="Arial"/>
                <w:b/>
                <w:bCs/>
                <w:sz w:val="22"/>
                <w:szCs w:val="22"/>
                <w:lang w:eastAsia="en-GB"/>
              </w:rPr>
            </w:pPr>
            <w:r w:rsidRPr="001A4476">
              <w:rPr>
                <w:rFonts w:ascii="Arial" w:hAnsi="Arial" w:cs="Arial"/>
                <w:b/>
                <w:bCs/>
                <w:sz w:val="22"/>
                <w:szCs w:val="22"/>
                <w:lang w:eastAsia="en-GB"/>
              </w:rPr>
              <w:t>£</w:t>
            </w:r>
          </w:p>
        </w:tc>
        <w:tc>
          <w:tcPr>
            <w:tcW w:w="356" w:type="dxa"/>
            <w:tcBorders>
              <w:top w:val="nil"/>
              <w:left w:val="nil"/>
              <w:bottom w:val="nil"/>
              <w:right w:val="nil"/>
            </w:tcBorders>
            <w:shd w:val="clear" w:color="auto" w:fill="auto"/>
            <w:noWrap/>
            <w:vAlign w:val="bottom"/>
            <w:hideMark/>
          </w:tcPr>
          <w:p w:rsidR="001A4476" w:rsidRPr="001A4476" w:rsidRDefault="001A4476" w:rsidP="001A4476">
            <w:pPr>
              <w:jc w:val="center"/>
              <w:rPr>
                <w:lang w:eastAsia="en-GB"/>
              </w:rPr>
            </w:pPr>
          </w:p>
        </w:tc>
        <w:tc>
          <w:tcPr>
            <w:tcW w:w="4759"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jc w:val="center"/>
              <w:rPr>
                <w:rFonts w:ascii="Arial" w:hAnsi="Arial" w:cs="Arial"/>
                <w:b/>
                <w:bCs/>
                <w:sz w:val="22"/>
                <w:szCs w:val="22"/>
                <w:lang w:eastAsia="en-GB"/>
              </w:rPr>
            </w:pPr>
            <w:r w:rsidRPr="001A4476">
              <w:rPr>
                <w:rFonts w:ascii="Arial" w:hAnsi="Arial" w:cs="Arial"/>
                <w:b/>
                <w:bCs/>
                <w:sz w:val="22"/>
                <w:szCs w:val="22"/>
                <w:lang w:eastAsia="en-GB"/>
              </w:rPr>
              <w:t>£</w:t>
            </w: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318"/>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single" w:sz="8" w:space="0" w:color="auto"/>
              <w:right w:val="nil"/>
            </w:tcBorders>
            <w:shd w:val="clear" w:color="auto" w:fill="auto"/>
            <w:noWrap/>
            <w:vAlign w:val="bottom"/>
            <w:hideMark/>
          </w:tcPr>
          <w:p w:rsidR="001A4476" w:rsidRPr="001A4476" w:rsidRDefault="001A4476" w:rsidP="001A4476">
            <w:pPr>
              <w:jc w:val="right"/>
              <w:rPr>
                <w:rFonts w:ascii="Arial" w:hAnsi="Arial" w:cs="Arial"/>
                <w:b/>
                <w:bCs/>
                <w:sz w:val="22"/>
                <w:szCs w:val="22"/>
                <w:lang w:eastAsia="en-GB"/>
              </w:rPr>
            </w:pPr>
            <w:r w:rsidRPr="001A4476">
              <w:rPr>
                <w:rFonts w:ascii="Arial" w:hAnsi="Arial" w:cs="Arial"/>
                <w:b/>
                <w:bCs/>
                <w:sz w:val="22"/>
                <w:szCs w:val="22"/>
                <w:lang w:eastAsia="en-GB"/>
              </w:rPr>
              <w:t>228,486</w:t>
            </w:r>
          </w:p>
        </w:tc>
        <w:tc>
          <w:tcPr>
            <w:tcW w:w="356" w:type="dxa"/>
            <w:tcBorders>
              <w:top w:val="nil"/>
              <w:left w:val="nil"/>
              <w:bottom w:val="single" w:sz="8" w:space="0" w:color="auto"/>
              <w:right w:val="nil"/>
            </w:tcBorders>
            <w:shd w:val="clear" w:color="auto" w:fill="auto"/>
            <w:noWrap/>
            <w:vAlign w:val="bottom"/>
            <w:hideMark/>
          </w:tcPr>
          <w:p w:rsidR="001A4476" w:rsidRPr="001A4476" w:rsidRDefault="001A4476" w:rsidP="001A4476">
            <w:pPr>
              <w:rPr>
                <w:rFonts w:ascii="Arial" w:hAnsi="Arial" w:cs="Arial"/>
                <w:b/>
                <w:bCs/>
                <w:sz w:val="22"/>
                <w:szCs w:val="22"/>
                <w:lang w:eastAsia="en-GB"/>
              </w:rPr>
            </w:pPr>
            <w:r w:rsidRPr="001A4476">
              <w:rPr>
                <w:rFonts w:ascii="Arial" w:hAnsi="Arial" w:cs="Arial"/>
                <w:b/>
                <w:bCs/>
                <w:sz w:val="22"/>
                <w:szCs w:val="22"/>
                <w:lang w:eastAsia="en-GB"/>
              </w:rPr>
              <w:t> </w:t>
            </w:r>
          </w:p>
        </w:tc>
        <w:tc>
          <w:tcPr>
            <w:tcW w:w="4759" w:type="dxa"/>
            <w:tcBorders>
              <w:top w:val="nil"/>
              <w:left w:val="nil"/>
              <w:bottom w:val="single" w:sz="8" w:space="0" w:color="auto"/>
              <w:right w:val="nil"/>
            </w:tcBorders>
            <w:shd w:val="clear" w:color="auto" w:fill="auto"/>
            <w:noWrap/>
            <w:vAlign w:val="bottom"/>
            <w:hideMark/>
          </w:tcPr>
          <w:p w:rsidR="001A4476" w:rsidRPr="001A4476" w:rsidRDefault="001A4476" w:rsidP="001A4476">
            <w:pPr>
              <w:rPr>
                <w:rFonts w:ascii="Arial" w:hAnsi="Arial" w:cs="Arial"/>
                <w:b/>
                <w:bCs/>
                <w:sz w:val="22"/>
                <w:szCs w:val="22"/>
                <w:lang w:eastAsia="en-GB"/>
              </w:rPr>
            </w:pPr>
            <w:r w:rsidRPr="001A4476">
              <w:rPr>
                <w:rFonts w:ascii="Arial" w:hAnsi="Arial" w:cs="Arial"/>
                <w:b/>
                <w:bCs/>
                <w:sz w:val="22"/>
                <w:szCs w:val="22"/>
                <w:lang w:eastAsia="en-GB"/>
              </w:rPr>
              <w:t xml:space="preserve">  Balance at 1 April</w:t>
            </w:r>
          </w:p>
        </w:tc>
        <w:tc>
          <w:tcPr>
            <w:tcW w:w="356" w:type="dxa"/>
            <w:tcBorders>
              <w:top w:val="nil"/>
              <w:left w:val="nil"/>
              <w:bottom w:val="single" w:sz="8" w:space="0" w:color="auto"/>
              <w:right w:val="nil"/>
            </w:tcBorders>
            <w:shd w:val="clear" w:color="auto" w:fill="auto"/>
            <w:noWrap/>
            <w:vAlign w:val="bottom"/>
            <w:hideMark/>
          </w:tcPr>
          <w:p w:rsidR="001A4476" w:rsidRPr="001A4476" w:rsidRDefault="001A4476" w:rsidP="001A4476">
            <w:pPr>
              <w:rPr>
                <w:rFonts w:ascii="Arial" w:hAnsi="Arial" w:cs="Arial"/>
                <w:b/>
                <w:bCs/>
                <w:sz w:val="22"/>
                <w:szCs w:val="22"/>
                <w:lang w:eastAsia="en-GB"/>
              </w:rPr>
            </w:pPr>
            <w:r w:rsidRPr="001A4476">
              <w:rPr>
                <w:rFonts w:ascii="Arial" w:hAnsi="Arial" w:cs="Arial"/>
                <w:b/>
                <w:bCs/>
                <w:sz w:val="22"/>
                <w:szCs w:val="22"/>
                <w:lang w:eastAsia="en-GB"/>
              </w:rPr>
              <w:t> </w:t>
            </w:r>
          </w:p>
        </w:tc>
        <w:tc>
          <w:tcPr>
            <w:tcW w:w="1061" w:type="dxa"/>
            <w:tcBorders>
              <w:top w:val="nil"/>
              <w:left w:val="nil"/>
              <w:bottom w:val="single" w:sz="8" w:space="0" w:color="auto"/>
              <w:right w:val="nil"/>
            </w:tcBorders>
            <w:shd w:val="clear" w:color="auto" w:fill="auto"/>
            <w:noWrap/>
            <w:vAlign w:val="bottom"/>
            <w:hideMark/>
          </w:tcPr>
          <w:p w:rsidR="001A4476" w:rsidRPr="001A4476" w:rsidRDefault="001A4476" w:rsidP="001A4476">
            <w:pPr>
              <w:jc w:val="right"/>
              <w:rPr>
                <w:rFonts w:ascii="Arial" w:hAnsi="Arial" w:cs="Arial"/>
                <w:b/>
                <w:bCs/>
                <w:sz w:val="22"/>
                <w:szCs w:val="22"/>
                <w:lang w:eastAsia="en-GB"/>
              </w:rPr>
            </w:pPr>
            <w:r w:rsidRPr="001A4476">
              <w:rPr>
                <w:rFonts w:ascii="Arial" w:hAnsi="Arial" w:cs="Arial"/>
                <w:b/>
                <w:bCs/>
                <w:sz w:val="22"/>
                <w:szCs w:val="22"/>
                <w:lang w:eastAsia="en-GB"/>
              </w:rPr>
              <w:t>219,400</w:t>
            </w: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258"/>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jc w:val="center"/>
              <w:rPr>
                <w:lang w:eastAsia="en-GB"/>
              </w:rPr>
            </w:pPr>
          </w:p>
        </w:tc>
        <w:tc>
          <w:tcPr>
            <w:tcW w:w="4759" w:type="dxa"/>
            <w:tcBorders>
              <w:top w:val="nil"/>
              <w:left w:val="nil"/>
              <w:bottom w:val="nil"/>
              <w:right w:val="nil"/>
            </w:tcBorders>
            <w:shd w:val="clear" w:color="auto" w:fill="auto"/>
            <w:noWrap/>
            <w:vAlign w:val="bottom"/>
            <w:hideMark/>
          </w:tcPr>
          <w:p w:rsidR="001A4476" w:rsidRPr="001A4476" w:rsidRDefault="001A4476" w:rsidP="001A4476">
            <w:pPr>
              <w:jc w:val="cente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jc w:val="cente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682"/>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4759" w:type="dxa"/>
            <w:vMerge w:val="restart"/>
            <w:tcBorders>
              <w:top w:val="nil"/>
              <w:left w:val="nil"/>
              <w:bottom w:val="nil"/>
              <w:right w:val="nil"/>
            </w:tcBorders>
            <w:shd w:val="clear" w:color="auto" w:fill="auto"/>
            <w:vAlign w:val="bottom"/>
            <w:hideMark/>
          </w:tcPr>
          <w:p w:rsidR="001A4476" w:rsidRPr="001A4476" w:rsidRDefault="001A4476" w:rsidP="001A4476">
            <w:pPr>
              <w:rPr>
                <w:rFonts w:ascii="Arial" w:hAnsi="Arial" w:cs="Arial"/>
                <w:sz w:val="22"/>
                <w:szCs w:val="22"/>
                <w:lang w:eastAsia="en-GB"/>
              </w:rPr>
            </w:pPr>
            <w:r w:rsidRPr="001A4476">
              <w:rPr>
                <w:rFonts w:ascii="Arial" w:hAnsi="Arial" w:cs="Arial"/>
                <w:sz w:val="22"/>
                <w:szCs w:val="22"/>
                <w:lang w:eastAsia="en-GB"/>
              </w:rPr>
              <w:t>Amount by which officer remuneration charged to the Comprehensive Income and expenditure Statement on an accruals basis is different from remuneration chargeable in the year in accordance with statutory requirements</w:t>
            </w: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303"/>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4759" w:type="dxa"/>
            <w:vMerge/>
            <w:tcBorders>
              <w:top w:val="nil"/>
              <w:left w:val="nil"/>
              <w:bottom w:val="nil"/>
              <w:right w:val="nil"/>
            </w:tcBorders>
            <w:vAlign w:val="center"/>
            <w:hideMark/>
          </w:tcPr>
          <w:p w:rsidR="001A4476" w:rsidRPr="001A4476" w:rsidRDefault="001A4476" w:rsidP="001A4476">
            <w:pPr>
              <w:rPr>
                <w:rFonts w:ascii="Arial" w:hAnsi="Arial" w:cs="Arial"/>
                <w:sz w:val="22"/>
                <w:szCs w:val="22"/>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258"/>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4759" w:type="dxa"/>
            <w:vMerge/>
            <w:tcBorders>
              <w:top w:val="nil"/>
              <w:left w:val="nil"/>
              <w:bottom w:val="nil"/>
              <w:right w:val="nil"/>
            </w:tcBorders>
            <w:vAlign w:val="center"/>
            <w:hideMark/>
          </w:tcPr>
          <w:p w:rsidR="001A4476" w:rsidRPr="001A4476" w:rsidRDefault="001A4476" w:rsidP="001A4476">
            <w:pPr>
              <w:rPr>
                <w:rFonts w:ascii="Arial" w:hAnsi="Arial" w:cs="Arial"/>
                <w:sz w:val="22"/>
                <w:szCs w:val="22"/>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258"/>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4759" w:type="dxa"/>
            <w:vMerge/>
            <w:tcBorders>
              <w:top w:val="nil"/>
              <w:left w:val="nil"/>
              <w:bottom w:val="nil"/>
              <w:right w:val="nil"/>
            </w:tcBorders>
            <w:vAlign w:val="center"/>
            <w:hideMark/>
          </w:tcPr>
          <w:p w:rsidR="001A4476" w:rsidRPr="001A4476" w:rsidRDefault="001A4476" w:rsidP="001A4476">
            <w:pPr>
              <w:rPr>
                <w:rFonts w:ascii="Arial" w:hAnsi="Arial" w:cs="Arial"/>
                <w:sz w:val="22"/>
                <w:szCs w:val="22"/>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288"/>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jc w:val="right"/>
              <w:rPr>
                <w:rFonts w:ascii="Arial" w:hAnsi="Arial" w:cs="Arial"/>
                <w:sz w:val="22"/>
                <w:szCs w:val="22"/>
                <w:lang w:eastAsia="en-GB"/>
              </w:rPr>
            </w:pPr>
            <w:r w:rsidRPr="001A4476">
              <w:rPr>
                <w:rFonts w:ascii="Arial" w:hAnsi="Arial" w:cs="Arial"/>
                <w:sz w:val="22"/>
                <w:szCs w:val="22"/>
                <w:lang w:eastAsia="en-GB"/>
              </w:rPr>
              <w:t>(9,086)</w:t>
            </w: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4759" w:type="dxa"/>
            <w:vMerge/>
            <w:tcBorders>
              <w:top w:val="nil"/>
              <w:left w:val="nil"/>
              <w:bottom w:val="nil"/>
              <w:right w:val="nil"/>
            </w:tcBorders>
            <w:vAlign w:val="center"/>
            <w:hideMark/>
          </w:tcPr>
          <w:p w:rsidR="001A4476" w:rsidRPr="001A4476" w:rsidRDefault="001A4476" w:rsidP="001A4476">
            <w:pPr>
              <w:rPr>
                <w:rFonts w:ascii="Arial" w:hAnsi="Arial" w:cs="Arial"/>
                <w:sz w:val="22"/>
                <w:szCs w:val="22"/>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jc w:val="right"/>
              <w:rPr>
                <w:rFonts w:ascii="Arial" w:hAnsi="Arial" w:cs="Arial"/>
                <w:sz w:val="22"/>
                <w:szCs w:val="22"/>
                <w:lang w:eastAsia="en-GB"/>
              </w:rPr>
            </w:pPr>
            <w:r w:rsidRPr="001A4476">
              <w:rPr>
                <w:rFonts w:ascii="Arial" w:hAnsi="Arial" w:cs="Arial"/>
                <w:sz w:val="22"/>
                <w:szCs w:val="22"/>
                <w:lang w:eastAsia="en-GB"/>
              </w:rPr>
              <w:t>1,918</w:t>
            </w: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273"/>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4759"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356"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1061" w:type="dxa"/>
            <w:tcBorders>
              <w:top w:val="nil"/>
              <w:left w:val="nil"/>
              <w:bottom w:val="nil"/>
              <w:right w:val="nil"/>
            </w:tcBorders>
            <w:shd w:val="clear" w:color="auto" w:fill="auto"/>
            <w:noWrap/>
            <w:vAlign w:val="bottom"/>
            <w:hideMark/>
          </w:tcPr>
          <w:p w:rsidR="001A4476" w:rsidRPr="001A4476" w:rsidRDefault="001A4476" w:rsidP="001A4476">
            <w:pPr>
              <w:rPr>
                <w:lang w:eastAsia="en-GB"/>
              </w:rPr>
            </w:pP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318"/>
          <w:jc w:val="center"/>
        </w:trPr>
        <w:tc>
          <w:tcPr>
            <w:tcW w:w="285" w:type="dxa"/>
            <w:tcBorders>
              <w:top w:val="nil"/>
              <w:left w:val="single" w:sz="4" w:space="0" w:color="auto"/>
              <w:bottom w:val="nil"/>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single" w:sz="8" w:space="0" w:color="auto"/>
              <w:left w:val="nil"/>
              <w:bottom w:val="single" w:sz="8" w:space="0" w:color="auto"/>
              <w:right w:val="nil"/>
            </w:tcBorders>
            <w:shd w:val="clear" w:color="auto" w:fill="auto"/>
            <w:noWrap/>
            <w:vAlign w:val="bottom"/>
            <w:hideMark/>
          </w:tcPr>
          <w:p w:rsidR="001A4476" w:rsidRPr="001A4476" w:rsidRDefault="001A4476" w:rsidP="001A4476">
            <w:pPr>
              <w:jc w:val="right"/>
              <w:rPr>
                <w:rFonts w:ascii="Arial" w:hAnsi="Arial" w:cs="Arial"/>
                <w:b/>
                <w:bCs/>
                <w:sz w:val="22"/>
                <w:szCs w:val="22"/>
                <w:lang w:eastAsia="en-GB"/>
              </w:rPr>
            </w:pPr>
            <w:r w:rsidRPr="001A4476">
              <w:rPr>
                <w:rFonts w:ascii="Arial" w:hAnsi="Arial" w:cs="Arial"/>
                <w:b/>
                <w:bCs/>
                <w:sz w:val="22"/>
                <w:szCs w:val="22"/>
                <w:lang w:eastAsia="en-GB"/>
              </w:rPr>
              <w:t>219,400</w:t>
            </w:r>
          </w:p>
        </w:tc>
        <w:tc>
          <w:tcPr>
            <w:tcW w:w="356" w:type="dxa"/>
            <w:tcBorders>
              <w:top w:val="single" w:sz="8" w:space="0" w:color="auto"/>
              <w:left w:val="nil"/>
              <w:bottom w:val="single" w:sz="8" w:space="0" w:color="auto"/>
              <w:right w:val="nil"/>
            </w:tcBorders>
            <w:shd w:val="clear" w:color="auto" w:fill="auto"/>
            <w:noWrap/>
            <w:vAlign w:val="bottom"/>
            <w:hideMark/>
          </w:tcPr>
          <w:p w:rsidR="001A4476" w:rsidRPr="001A4476" w:rsidRDefault="001A4476" w:rsidP="001A4476">
            <w:pPr>
              <w:rPr>
                <w:rFonts w:ascii="Arial" w:hAnsi="Arial" w:cs="Arial"/>
                <w:sz w:val="22"/>
                <w:szCs w:val="22"/>
                <w:lang w:eastAsia="en-GB"/>
              </w:rPr>
            </w:pPr>
            <w:r w:rsidRPr="001A4476">
              <w:rPr>
                <w:rFonts w:ascii="Arial" w:hAnsi="Arial" w:cs="Arial"/>
                <w:sz w:val="22"/>
                <w:szCs w:val="22"/>
                <w:lang w:eastAsia="en-GB"/>
              </w:rPr>
              <w:t> </w:t>
            </w:r>
          </w:p>
        </w:tc>
        <w:tc>
          <w:tcPr>
            <w:tcW w:w="4759" w:type="dxa"/>
            <w:tcBorders>
              <w:top w:val="single" w:sz="8" w:space="0" w:color="auto"/>
              <w:left w:val="nil"/>
              <w:bottom w:val="single" w:sz="8" w:space="0" w:color="auto"/>
              <w:right w:val="nil"/>
            </w:tcBorders>
            <w:shd w:val="clear" w:color="auto" w:fill="auto"/>
            <w:noWrap/>
            <w:vAlign w:val="bottom"/>
            <w:hideMark/>
          </w:tcPr>
          <w:p w:rsidR="001A4476" w:rsidRPr="001A4476" w:rsidRDefault="001A4476" w:rsidP="001A4476">
            <w:pPr>
              <w:rPr>
                <w:rFonts w:ascii="Arial" w:hAnsi="Arial" w:cs="Arial"/>
                <w:b/>
                <w:bCs/>
                <w:sz w:val="22"/>
                <w:szCs w:val="22"/>
                <w:lang w:eastAsia="en-GB"/>
              </w:rPr>
            </w:pPr>
            <w:r w:rsidRPr="001A4476">
              <w:rPr>
                <w:rFonts w:ascii="Arial" w:hAnsi="Arial" w:cs="Arial"/>
                <w:b/>
                <w:bCs/>
                <w:sz w:val="22"/>
                <w:szCs w:val="22"/>
                <w:lang w:eastAsia="en-GB"/>
              </w:rPr>
              <w:t xml:space="preserve">Balance at 31 March </w:t>
            </w:r>
          </w:p>
        </w:tc>
        <w:tc>
          <w:tcPr>
            <w:tcW w:w="356" w:type="dxa"/>
            <w:tcBorders>
              <w:top w:val="single" w:sz="8" w:space="0" w:color="auto"/>
              <w:left w:val="nil"/>
              <w:bottom w:val="single" w:sz="8" w:space="0" w:color="auto"/>
              <w:right w:val="nil"/>
            </w:tcBorders>
            <w:shd w:val="clear" w:color="auto" w:fill="auto"/>
            <w:noWrap/>
            <w:vAlign w:val="bottom"/>
            <w:hideMark/>
          </w:tcPr>
          <w:p w:rsidR="001A4476" w:rsidRPr="001A4476" w:rsidRDefault="001A4476" w:rsidP="001A4476">
            <w:pPr>
              <w:rPr>
                <w:rFonts w:ascii="Arial" w:hAnsi="Arial" w:cs="Arial"/>
                <w:sz w:val="22"/>
                <w:szCs w:val="22"/>
                <w:lang w:eastAsia="en-GB"/>
              </w:rPr>
            </w:pPr>
            <w:r w:rsidRPr="001A4476">
              <w:rPr>
                <w:rFonts w:ascii="Arial" w:hAnsi="Arial" w:cs="Arial"/>
                <w:sz w:val="22"/>
                <w:szCs w:val="22"/>
                <w:lang w:eastAsia="en-GB"/>
              </w:rPr>
              <w:t> </w:t>
            </w:r>
          </w:p>
        </w:tc>
        <w:tc>
          <w:tcPr>
            <w:tcW w:w="1061" w:type="dxa"/>
            <w:tcBorders>
              <w:top w:val="single" w:sz="8" w:space="0" w:color="auto"/>
              <w:left w:val="nil"/>
              <w:bottom w:val="single" w:sz="8" w:space="0" w:color="auto"/>
              <w:right w:val="nil"/>
            </w:tcBorders>
            <w:shd w:val="clear" w:color="auto" w:fill="auto"/>
            <w:noWrap/>
            <w:vAlign w:val="bottom"/>
            <w:hideMark/>
          </w:tcPr>
          <w:p w:rsidR="001A4476" w:rsidRPr="001A4476" w:rsidRDefault="001A4476" w:rsidP="001A4476">
            <w:pPr>
              <w:jc w:val="right"/>
              <w:rPr>
                <w:rFonts w:ascii="Arial" w:hAnsi="Arial" w:cs="Arial"/>
                <w:b/>
                <w:bCs/>
                <w:sz w:val="22"/>
                <w:szCs w:val="22"/>
                <w:lang w:eastAsia="en-GB"/>
              </w:rPr>
            </w:pPr>
            <w:r w:rsidRPr="001A4476">
              <w:rPr>
                <w:rFonts w:ascii="Arial" w:hAnsi="Arial" w:cs="Arial"/>
                <w:b/>
                <w:bCs/>
                <w:sz w:val="22"/>
                <w:szCs w:val="22"/>
                <w:lang w:eastAsia="en-GB"/>
              </w:rPr>
              <w:t>221,318</w:t>
            </w:r>
          </w:p>
        </w:tc>
        <w:tc>
          <w:tcPr>
            <w:tcW w:w="285" w:type="dxa"/>
            <w:tcBorders>
              <w:top w:val="nil"/>
              <w:left w:val="nil"/>
              <w:bottom w:val="nil"/>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r w:rsidR="001A4476" w:rsidRPr="001A4476" w:rsidTr="001A4476">
        <w:trPr>
          <w:trHeight w:val="167"/>
          <w:jc w:val="center"/>
        </w:trPr>
        <w:tc>
          <w:tcPr>
            <w:tcW w:w="285" w:type="dxa"/>
            <w:tcBorders>
              <w:top w:val="nil"/>
              <w:left w:val="single" w:sz="4" w:space="0" w:color="auto"/>
              <w:bottom w:val="single" w:sz="4" w:space="0" w:color="auto"/>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single" w:sz="4" w:space="0" w:color="auto"/>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356" w:type="dxa"/>
            <w:tcBorders>
              <w:top w:val="nil"/>
              <w:left w:val="nil"/>
              <w:bottom w:val="single" w:sz="4" w:space="0" w:color="auto"/>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4759" w:type="dxa"/>
            <w:tcBorders>
              <w:top w:val="nil"/>
              <w:left w:val="nil"/>
              <w:bottom w:val="single" w:sz="4" w:space="0" w:color="auto"/>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356" w:type="dxa"/>
            <w:tcBorders>
              <w:top w:val="nil"/>
              <w:left w:val="nil"/>
              <w:bottom w:val="single" w:sz="4" w:space="0" w:color="auto"/>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1061" w:type="dxa"/>
            <w:tcBorders>
              <w:top w:val="nil"/>
              <w:left w:val="nil"/>
              <w:bottom w:val="single" w:sz="4" w:space="0" w:color="auto"/>
              <w:right w:val="nil"/>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c>
          <w:tcPr>
            <w:tcW w:w="285" w:type="dxa"/>
            <w:tcBorders>
              <w:top w:val="nil"/>
              <w:left w:val="nil"/>
              <w:bottom w:val="single" w:sz="4" w:space="0" w:color="auto"/>
              <w:right w:val="single" w:sz="4" w:space="0" w:color="auto"/>
            </w:tcBorders>
            <w:shd w:val="clear" w:color="auto" w:fill="auto"/>
            <w:noWrap/>
            <w:vAlign w:val="bottom"/>
            <w:hideMark/>
          </w:tcPr>
          <w:p w:rsidR="001A4476" w:rsidRPr="001A4476" w:rsidRDefault="001A4476" w:rsidP="001A4476">
            <w:pPr>
              <w:rPr>
                <w:rFonts w:ascii="Arial" w:hAnsi="Arial" w:cs="Arial"/>
                <w:lang w:eastAsia="en-GB"/>
              </w:rPr>
            </w:pPr>
            <w:r w:rsidRPr="001A4476">
              <w:rPr>
                <w:rFonts w:ascii="Arial" w:hAnsi="Arial" w:cs="Arial"/>
                <w:lang w:eastAsia="en-GB"/>
              </w:rPr>
              <w:t> </w:t>
            </w:r>
          </w:p>
        </w:tc>
      </w:tr>
    </w:tbl>
    <w:p w:rsidR="00B568EB" w:rsidRDefault="00B568EB">
      <w:pPr>
        <w:rPr>
          <w:rFonts w:ascii="Arial" w:hAnsi="Arial" w:cs="Arial"/>
          <w:bCs/>
          <w:sz w:val="22"/>
        </w:rPr>
      </w:pPr>
    </w:p>
    <w:p w:rsidR="009922DF" w:rsidRDefault="009922DF">
      <w:pPr>
        <w:rPr>
          <w:rFonts w:ascii="Arial" w:hAnsi="Arial" w:cs="Arial"/>
          <w:bCs/>
          <w:sz w:val="22"/>
        </w:rPr>
      </w:pPr>
    </w:p>
    <w:p w:rsidR="00F23FFF" w:rsidRDefault="00F23FFF">
      <w:pPr>
        <w:rPr>
          <w:rFonts w:ascii="Arial" w:hAnsi="Arial" w:cs="Arial"/>
          <w:bCs/>
          <w:sz w:val="22"/>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lastRenderedPageBreak/>
        <w:t>13     Operating Activities</w:t>
      </w:r>
    </w:p>
    <w:p w:rsidR="00F23FFF" w:rsidRDefault="00F23FFF">
      <w:pPr>
        <w:pStyle w:val="xl50"/>
        <w:tabs>
          <w:tab w:val="left" w:pos="567"/>
        </w:tabs>
        <w:spacing w:before="0" w:beforeAutospacing="0" w:after="0" w:afterAutospacing="0"/>
        <w:rPr>
          <w:rFonts w:eastAsia="Times New Roman"/>
          <w:bCs w:val="0"/>
          <w:szCs w:val="20"/>
        </w:rPr>
      </w:pPr>
    </w:p>
    <w:p w:rsidR="00F23FFF" w:rsidRDefault="003552BC">
      <w:pPr>
        <w:ind w:left="567"/>
        <w:rPr>
          <w:rFonts w:ascii="Arial" w:hAnsi="Arial" w:cs="Arial"/>
          <w:bCs/>
          <w:sz w:val="22"/>
        </w:rPr>
      </w:pPr>
      <w:r>
        <w:rPr>
          <w:rFonts w:ascii="Arial" w:hAnsi="Arial" w:cs="Arial"/>
          <w:bCs/>
          <w:sz w:val="22"/>
        </w:rPr>
        <w:t>The cash flows for operating activities include the following items:</w:t>
      </w:r>
    </w:p>
    <w:p w:rsidR="00416645" w:rsidRDefault="00416645" w:rsidP="00416645">
      <w:pPr>
        <w:jc w:val="center"/>
      </w:pPr>
    </w:p>
    <w:tbl>
      <w:tblPr>
        <w:tblW w:w="10024" w:type="dxa"/>
        <w:jc w:val="center"/>
        <w:tblInd w:w="93" w:type="dxa"/>
        <w:tblLook w:val="04A0" w:firstRow="1" w:lastRow="0" w:firstColumn="1" w:lastColumn="0" w:noHBand="0" w:noVBand="1"/>
      </w:tblPr>
      <w:tblGrid>
        <w:gridCol w:w="278"/>
        <w:gridCol w:w="1464"/>
        <w:gridCol w:w="278"/>
        <w:gridCol w:w="4675"/>
        <w:gridCol w:w="1464"/>
        <w:gridCol w:w="278"/>
        <w:gridCol w:w="1464"/>
        <w:gridCol w:w="278"/>
      </w:tblGrid>
      <w:tr w:rsidR="00E90461" w:rsidRPr="00E90461" w:rsidTr="00E90461">
        <w:trPr>
          <w:trHeight w:val="280"/>
          <w:jc w:val="center"/>
        </w:trPr>
        <w:tc>
          <w:tcPr>
            <w:tcW w:w="270" w:type="dxa"/>
            <w:tcBorders>
              <w:top w:val="single" w:sz="4" w:space="0" w:color="auto"/>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single" w:sz="4" w:space="0" w:color="auto"/>
              <w:left w:val="nil"/>
              <w:bottom w:val="nil"/>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 </w:t>
            </w:r>
          </w:p>
        </w:tc>
        <w:tc>
          <w:tcPr>
            <w:tcW w:w="270" w:type="dxa"/>
            <w:tcBorders>
              <w:top w:val="single" w:sz="4" w:space="0" w:color="auto"/>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4675" w:type="dxa"/>
            <w:tcBorders>
              <w:top w:val="single" w:sz="4" w:space="0" w:color="auto"/>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single" w:sz="4" w:space="0" w:color="auto"/>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270" w:type="dxa"/>
            <w:tcBorders>
              <w:top w:val="single" w:sz="4" w:space="0" w:color="auto"/>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single" w:sz="4" w:space="0" w:color="auto"/>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270" w:type="dxa"/>
            <w:tcBorders>
              <w:top w:val="single" w:sz="4" w:space="0" w:color="auto"/>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80"/>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2012-13</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2013-14</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2013-14</w:t>
            </w: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94"/>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single" w:sz="8" w:space="0" w:color="auto"/>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single" w:sz="8"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single" w:sz="8" w:space="0" w:color="auto"/>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w:t>
            </w:r>
          </w:p>
        </w:tc>
        <w:tc>
          <w:tcPr>
            <w:tcW w:w="270" w:type="dxa"/>
            <w:tcBorders>
              <w:top w:val="nil"/>
              <w:left w:val="nil"/>
              <w:bottom w:val="single" w:sz="8" w:space="0" w:color="auto"/>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 </w:t>
            </w:r>
          </w:p>
        </w:tc>
        <w:tc>
          <w:tcPr>
            <w:tcW w:w="1423" w:type="dxa"/>
            <w:tcBorders>
              <w:top w:val="nil"/>
              <w:left w:val="nil"/>
              <w:bottom w:val="single" w:sz="8" w:space="0" w:color="auto"/>
              <w:right w:val="nil"/>
            </w:tcBorders>
            <w:shd w:val="clear" w:color="auto" w:fill="auto"/>
            <w:noWrap/>
            <w:vAlign w:val="bottom"/>
            <w:hideMark/>
          </w:tcPr>
          <w:p w:rsidR="00E90461" w:rsidRPr="00E90461" w:rsidRDefault="00E90461" w:rsidP="00E90461">
            <w:pPr>
              <w:jc w:val="center"/>
              <w:rPr>
                <w:rFonts w:ascii="Arial" w:hAnsi="Arial" w:cs="Arial"/>
                <w:b/>
                <w:bCs/>
                <w:sz w:val="22"/>
                <w:szCs w:val="22"/>
                <w:lang w:eastAsia="en-GB"/>
              </w:rPr>
            </w:pPr>
            <w:r w:rsidRPr="00E90461">
              <w:rPr>
                <w:rFonts w:ascii="Arial" w:hAnsi="Arial" w:cs="Arial"/>
                <w:b/>
                <w:bCs/>
                <w:sz w:val="22"/>
                <w:szCs w:val="22"/>
                <w:lang w:eastAsia="en-GB"/>
              </w:rPr>
              <w:t>£</w:t>
            </w: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single" w:sz="8" w:space="0" w:color="auto"/>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(34,600,303)</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Housing Benefit grant</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(26,521,798)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(15,240,351)</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Cash received for goods and services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(7,981,218)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(25,646,855)</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Housing rents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(27,310,468)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(11,017,196)</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Council tax receipts - Council and Parish share</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(11,147,016)</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color w:val="000000"/>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vMerge w:val="restart"/>
            <w:tcBorders>
              <w:top w:val="nil"/>
              <w:left w:val="nil"/>
              <w:bottom w:val="nil"/>
              <w:right w:val="nil"/>
            </w:tcBorders>
            <w:shd w:val="clear" w:color="auto" w:fill="auto"/>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Council share of National Non-Domestic Rates from National pool</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(5,309,295)</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vMerge/>
            <w:tcBorders>
              <w:top w:val="nil"/>
              <w:left w:val="nil"/>
              <w:bottom w:val="nil"/>
              <w:right w:val="nil"/>
            </w:tcBorders>
            <w:vAlign w:val="center"/>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0</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0</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Business rates Council share</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(4,871,492)</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(2,427,658)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Other grants and contributions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(1,630,639)</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(1,793,842)</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Revenue Support Grant/New Homes Bonus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(6,091,756)</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(679,692)</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Interest received</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(439,687)</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0</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xml:space="preserve">Collection Fund  -Council share </w:t>
            </w:r>
          </w:p>
        </w:tc>
        <w:tc>
          <w:tcPr>
            <w:tcW w:w="1423" w:type="dxa"/>
            <w:tcBorders>
              <w:top w:val="nil"/>
              <w:left w:val="nil"/>
              <w:bottom w:val="single" w:sz="4" w:space="0" w:color="auto"/>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(65,048)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(86,059,122)</w:t>
            </w: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20,985,987</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xml:space="preserve">Housing Benefit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14,551,519</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4,039,148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Parish Precepts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4,233,499</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15,747,250</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Cash paid to and on behalf of employees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17,202,691</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33,127,923</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Other operating cash payments</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22,070,109</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1,084,388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Revenue funded from capital under statute</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1,304,433</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602,062</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Payments to the Capital Receipts Pool</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374,228</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13,305</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xml:space="preserve">Collection Fund  -Council share </w:t>
            </w:r>
          </w:p>
        </w:tc>
        <w:tc>
          <w:tcPr>
            <w:tcW w:w="1423" w:type="dxa"/>
            <w:tcBorders>
              <w:top w:val="nil"/>
              <w:left w:val="nil"/>
              <w:bottom w:val="single" w:sz="4" w:space="0" w:color="auto"/>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0</w:t>
            </w: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jc w:val="right"/>
              <w:rPr>
                <w:rFonts w:ascii="Arial" w:hAnsi="Arial" w:cs="Arial"/>
                <w:sz w:val="22"/>
                <w:szCs w:val="22"/>
                <w:lang w:eastAsia="en-GB"/>
              </w:rPr>
            </w:pPr>
            <w:r w:rsidRPr="00E90461">
              <w:rPr>
                <w:rFonts w:ascii="Arial" w:hAnsi="Arial" w:cs="Arial"/>
                <w:sz w:val="22"/>
                <w:szCs w:val="22"/>
                <w:lang w:eastAsia="en-GB"/>
              </w:rPr>
              <w:t>59,736,479</w:t>
            </w: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80"/>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4675"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1423" w:type="dxa"/>
            <w:tcBorders>
              <w:top w:val="nil"/>
              <w:left w:val="nil"/>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94"/>
          <w:jc w:val="center"/>
        </w:trPr>
        <w:tc>
          <w:tcPr>
            <w:tcW w:w="270" w:type="dxa"/>
            <w:tcBorders>
              <w:top w:val="nil"/>
              <w:left w:val="single" w:sz="4" w:space="0" w:color="auto"/>
              <w:bottom w:val="nil"/>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single" w:sz="8" w:space="0" w:color="auto"/>
              <w:left w:val="nil"/>
              <w:bottom w:val="single" w:sz="8" w:space="0" w:color="auto"/>
              <w:right w:val="nil"/>
            </w:tcBorders>
            <w:shd w:val="clear" w:color="auto" w:fill="auto"/>
            <w:noWrap/>
            <w:vAlign w:val="bottom"/>
            <w:hideMark/>
          </w:tcPr>
          <w:p w:rsidR="00E90461" w:rsidRPr="00E90461" w:rsidRDefault="00E90461" w:rsidP="00E90461">
            <w:pPr>
              <w:jc w:val="right"/>
              <w:rPr>
                <w:rFonts w:ascii="Arial" w:hAnsi="Arial" w:cs="Arial"/>
                <w:b/>
                <w:bCs/>
                <w:sz w:val="22"/>
                <w:szCs w:val="22"/>
                <w:lang w:eastAsia="en-GB"/>
              </w:rPr>
            </w:pPr>
            <w:r w:rsidRPr="00E90461">
              <w:rPr>
                <w:rFonts w:ascii="Arial" w:hAnsi="Arial" w:cs="Arial"/>
                <w:b/>
                <w:bCs/>
                <w:sz w:val="22"/>
                <w:szCs w:val="22"/>
                <w:lang w:eastAsia="en-GB"/>
              </w:rPr>
              <w:t>(21,115,129)</w:t>
            </w:r>
          </w:p>
        </w:tc>
        <w:tc>
          <w:tcPr>
            <w:tcW w:w="270" w:type="dxa"/>
            <w:tcBorders>
              <w:top w:val="single" w:sz="8" w:space="0" w:color="auto"/>
              <w:left w:val="nil"/>
              <w:bottom w:val="single" w:sz="8"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4675" w:type="dxa"/>
            <w:tcBorders>
              <w:top w:val="single" w:sz="8" w:space="0" w:color="auto"/>
              <w:left w:val="nil"/>
              <w:bottom w:val="single" w:sz="8" w:space="0" w:color="auto"/>
              <w:right w:val="nil"/>
            </w:tcBorders>
            <w:shd w:val="clear" w:color="auto" w:fill="auto"/>
            <w:noWrap/>
            <w:vAlign w:val="bottom"/>
            <w:hideMark/>
          </w:tcPr>
          <w:p w:rsidR="00E90461" w:rsidRPr="00E90461" w:rsidRDefault="00E90461" w:rsidP="00E90461">
            <w:pPr>
              <w:rPr>
                <w:rFonts w:ascii="Arial" w:hAnsi="Arial" w:cs="Arial"/>
                <w:b/>
                <w:bCs/>
                <w:sz w:val="22"/>
                <w:szCs w:val="22"/>
                <w:lang w:eastAsia="en-GB"/>
              </w:rPr>
            </w:pPr>
            <w:r w:rsidRPr="00E90461">
              <w:rPr>
                <w:rFonts w:ascii="Arial" w:hAnsi="Arial" w:cs="Arial"/>
                <w:b/>
                <w:bCs/>
                <w:sz w:val="22"/>
                <w:szCs w:val="22"/>
                <w:lang w:eastAsia="en-GB"/>
              </w:rPr>
              <w:t>Net cash flows from operating activities</w:t>
            </w:r>
          </w:p>
        </w:tc>
        <w:tc>
          <w:tcPr>
            <w:tcW w:w="1423" w:type="dxa"/>
            <w:tcBorders>
              <w:top w:val="single" w:sz="8" w:space="0" w:color="auto"/>
              <w:left w:val="nil"/>
              <w:bottom w:val="single" w:sz="8" w:space="0" w:color="auto"/>
              <w:right w:val="nil"/>
            </w:tcBorders>
            <w:shd w:val="clear" w:color="auto" w:fill="auto"/>
            <w:noWrap/>
            <w:vAlign w:val="bottom"/>
            <w:hideMark/>
          </w:tcPr>
          <w:p w:rsidR="00E90461" w:rsidRPr="00E90461" w:rsidRDefault="00E90461" w:rsidP="00E90461">
            <w:pPr>
              <w:rPr>
                <w:rFonts w:ascii="Arial" w:hAnsi="Arial" w:cs="Arial"/>
                <w:b/>
                <w:bCs/>
                <w:sz w:val="22"/>
                <w:szCs w:val="22"/>
                <w:lang w:eastAsia="en-GB"/>
              </w:rPr>
            </w:pPr>
            <w:r w:rsidRPr="00E90461">
              <w:rPr>
                <w:rFonts w:ascii="Arial" w:hAnsi="Arial" w:cs="Arial"/>
                <w:b/>
                <w:bCs/>
                <w:sz w:val="22"/>
                <w:szCs w:val="22"/>
                <w:lang w:eastAsia="en-GB"/>
              </w:rPr>
              <w:t> </w:t>
            </w:r>
          </w:p>
        </w:tc>
        <w:tc>
          <w:tcPr>
            <w:tcW w:w="270" w:type="dxa"/>
            <w:tcBorders>
              <w:top w:val="single" w:sz="8" w:space="0" w:color="auto"/>
              <w:left w:val="nil"/>
              <w:bottom w:val="single" w:sz="8" w:space="0" w:color="auto"/>
              <w:right w:val="nil"/>
            </w:tcBorders>
            <w:shd w:val="clear" w:color="auto" w:fill="auto"/>
            <w:noWrap/>
            <w:vAlign w:val="bottom"/>
            <w:hideMark/>
          </w:tcPr>
          <w:p w:rsidR="00E90461" w:rsidRPr="00E90461" w:rsidRDefault="00E90461" w:rsidP="00E90461">
            <w:pPr>
              <w:rPr>
                <w:rFonts w:ascii="Arial" w:hAnsi="Arial" w:cs="Arial"/>
                <w:b/>
                <w:bCs/>
                <w:sz w:val="22"/>
                <w:szCs w:val="22"/>
                <w:lang w:eastAsia="en-GB"/>
              </w:rPr>
            </w:pPr>
            <w:r w:rsidRPr="00E90461">
              <w:rPr>
                <w:rFonts w:ascii="Arial" w:hAnsi="Arial" w:cs="Arial"/>
                <w:b/>
                <w:bCs/>
                <w:sz w:val="22"/>
                <w:szCs w:val="22"/>
                <w:lang w:eastAsia="en-GB"/>
              </w:rPr>
              <w:t> </w:t>
            </w:r>
          </w:p>
        </w:tc>
        <w:tc>
          <w:tcPr>
            <w:tcW w:w="1423" w:type="dxa"/>
            <w:tcBorders>
              <w:top w:val="single" w:sz="8" w:space="0" w:color="auto"/>
              <w:left w:val="nil"/>
              <w:bottom w:val="single" w:sz="8" w:space="0" w:color="auto"/>
              <w:right w:val="nil"/>
            </w:tcBorders>
            <w:shd w:val="clear" w:color="auto" w:fill="auto"/>
            <w:noWrap/>
            <w:vAlign w:val="bottom"/>
            <w:hideMark/>
          </w:tcPr>
          <w:p w:rsidR="00E90461" w:rsidRPr="00E90461" w:rsidRDefault="00E90461" w:rsidP="00E90461">
            <w:pPr>
              <w:jc w:val="right"/>
              <w:rPr>
                <w:rFonts w:ascii="Arial" w:hAnsi="Arial" w:cs="Arial"/>
                <w:b/>
                <w:bCs/>
                <w:sz w:val="22"/>
                <w:szCs w:val="22"/>
                <w:lang w:eastAsia="en-GB"/>
              </w:rPr>
            </w:pPr>
            <w:r w:rsidRPr="00E90461">
              <w:rPr>
                <w:rFonts w:ascii="Arial" w:hAnsi="Arial" w:cs="Arial"/>
                <w:b/>
                <w:bCs/>
                <w:sz w:val="22"/>
                <w:szCs w:val="22"/>
                <w:lang w:eastAsia="en-GB"/>
              </w:rPr>
              <w:t>(26,322,643)</w:t>
            </w:r>
          </w:p>
        </w:tc>
        <w:tc>
          <w:tcPr>
            <w:tcW w:w="270" w:type="dxa"/>
            <w:tcBorders>
              <w:top w:val="nil"/>
              <w:left w:val="nil"/>
              <w:bottom w:val="nil"/>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r w:rsidR="00E90461" w:rsidRPr="00E90461" w:rsidTr="00E90461">
        <w:trPr>
          <w:trHeight w:val="266"/>
          <w:jc w:val="center"/>
        </w:trPr>
        <w:tc>
          <w:tcPr>
            <w:tcW w:w="270" w:type="dxa"/>
            <w:tcBorders>
              <w:top w:val="nil"/>
              <w:left w:val="single" w:sz="4" w:space="0" w:color="auto"/>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270" w:type="dxa"/>
            <w:tcBorders>
              <w:top w:val="nil"/>
              <w:left w:val="nil"/>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4675" w:type="dxa"/>
            <w:tcBorders>
              <w:top w:val="nil"/>
              <w:left w:val="nil"/>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270" w:type="dxa"/>
            <w:tcBorders>
              <w:top w:val="nil"/>
              <w:left w:val="nil"/>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1423" w:type="dxa"/>
            <w:tcBorders>
              <w:top w:val="nil"/>
              <w:left w:val="nil"/>
              <w:bottom w:val="single" w:sz="4" w:space="0" w:color="auto"/>
              <w:right w:val="nil"/>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c>
          <w:tcPr>
            <w:tcW w:w="270" w:type="dxa"/>
            <w:tcBorders>
              <w:top w:val="nil"/>
              <w:left w:val="nil"/>
              <w:bottom w:val="single" w:sz="4" w:space="0" w:color="auto"/>
              <w:right w:val="single" w:sz="4" w:space="0" w:color="auto"/>
            </w:tcBorders>
            <w:shd w:val="clear" w:color="auto" w:fill="auto"/>
            <w:noWrap/>
            <w:vAlign w:val="bottom"/>
            <w:hideMark/>
          </w:tcPr>
          <w:p w:rsidR="00E90461" w:rsidRPr="00E90461" w:rsidRDefault="00E90461" w:rsidP="00E90461">
            <w:pPr>
              <w:rPr>
                <w:rFonts w:ascii="Arial" w:hAnsi="Arial" w:cs="Arial"/>
                <w:sz w:val="22"/>
                <w:szCs w:val="22"/>
                <w:lang w:eastAsia="en-GB"/>
              </w:rPr>
            </w:pPr>
            <w:r w:rsidRPr="00E90461">
              <w:rPr>
                <w:rFonts w:ascii="Arial" w:hAnsi="Arial" w:cs="Arial"/>
                <w:sz w:val="22"/>
                <w:szCs w:val="22"/>
                <w:lang w:eastAsia="en-GB"/>
              </w:rPr>
              <w:t> </w:t>
            </w:r>
          </w:p>
        </w:tc>
      </w:tr>
    </w:tbl>
    <w:p w:rsidR="00864D14" w:rsidRDefault="00864D14" w:rsidP="00416645">
      <w:pPr>
        <w:jc w:val="center"/>
        <w:rPr>
          <w:rFonts w:ascii="Arial" w:hAnsi="Arial" w:cs="Arial"/>
          <w:bCs/>
          <w:sz w:val="22"/>
        </w:rPr>
      </w:pPr>
    </w:p>
    <w:p w:rsidR="00E90461" w:rsidRDefault="00E90461" w:rsidP="00416645">
      <w:pPr>
        <w:jc w:val="center"/>
        <w:rPr>
          <w:rFonts w:ascii="Arial" w:hAnsi="Arial" w:cs="Arial"/>
          <w:bCs/>
          <w:sz w:val="22"/>
        </w:rPr>
      </w:pPr>
    </w:p>
    <w:p w:rsidR="00F23FFF" w:rsidRDefault="003552BC">
      <w:pPr>
        <w:pStyle w:val="xl50"/>
        <w:spacing w:before="0" w:beforeAutospacing="0" w:after="0" w:afterAutospacing="0"/>
        <w:rPr>
          <w:rFonts w:eastAsia="Times New Roman"/>
          <w:bCs w:val="0"/>
          <w:szCs w:val="20"/>
        </w:rPr>
      </w:pPr>
      <w:r>
        <w:rPr>
          <w:rFonts w:eastAsia="Times New Roman"/>
          <w:bCs w:val="0"/>
          <w:szCs w:val="20"/>
        </w:rPr>
        <w:t>14     Investing Activities</w:t>
      </w:r>
    </w:p>
    <w:p w:rsidR="00F23FFF" w:rsidRDefault="003552BC" w:rsidP="004D5CC9">
      <w:pPr>
        <w:ind w:left="567"/>
        <w:rPr>
          <w:rFonts w:ascii="Arial" w:hAnsi="Arial" w:cs="Arial"/>
          <w:bCs/>
          <w:sz w:val="22"/>
        </w:rPr>
      </w:pPr>
      <w:r>
        <w:rPr>
          <w:rFonts w:ascii="Arial" w:hAnsi="Arial" w:cs="Arial"/>
          <w:bCs/>
          <w:sz w:val="22"/>
        </w:rPr>
        <w:t>The cash flows for investing activities include the following items:</w:t>
      </w:r>
    </w:p>
    <w:p w:rsidR="00AC321D" w:rsidRDefault="00AC321D" w:rsidP="004D5CC9">
      <w:pPr>
        <w:ind w:left="567"/>
        <w:rPr>
          <w:rFonts w:ascii="Arial" w:hAnsi="Arial" w:cs="Arial"/>
          <w:bCs/>
          <w:sz w:val="22"/>
        </w:rPr>
      </w:pPr>
    </w:p>
    <w:p w:rsidR="00E90461" w:rsidRDefault="00E90461" w:rsidP="004D5CC9">
      <w:pPr>
        <w:ind w:left="567"/>
        <w:rPr>
          <w:rFonts w:ascii="Arial" w:hAnsi="Arial" w:cs="Arial"/>
          <w:bCs/>
          <w:sz w:val="22"/>
        </w:rPr>
      </w:pPr>
    </w:p>
    <w:tbl>
      <w:tblPr>
        <w:tblW w:w="10091" w:type="dxa"/>
        <w:jc w:val="center"/>
        <w:tblInd w:w="93" w:type="dxa"/>
        <w:tblLook w:val="04A0" w:firstRow="1" w:lastRow="0" w:firstColumn="1" w:lastColumn="0" w:noHBand="0" w:noVBand="1"/>
      </w:tblPr>
      <w:tblGrid>
        <w:gridCol w:w="291"/>
        <w:gridCol w:w="1535"/>
        <w:gridCol w:w="377"/>
        <w:gridCol w:w="5935"/>
        <w:gridCol w:w="1662"/>
        <w:gridCol w:w="291"/>
      </w:tblGrid>
      <w:tr w:rsidR="005A6DC3" w:rsidRPr="005A6DC3" w:rsidTr="005A6DC3">
        <w:trPr>
          <w:trHeight w:val="277"/>
          <w:jc w:val="center"/>
        </w:trPr>
        <w:tc>
          <w:tcPr>
            <w:tcW w:w="291" w:type="dxa"/>
            <w:tcBorders>
              <w:top w:val="single" w:sz="4" w:space="0" w:color="auto"/>
              <w:left w:val="single" w:sz="4" w:space="0" w:color="auto"/>
              <w:bottom w:val="nil"/>
              <w:right w:val="nil"/>
            </w:tcBorders>
            <w:shd w:val="clear" w:color="auto" w:fill="auto"/>
            <w:noWrap/>
            <w:vAlign w:val="bottom"/>
            <w:hideMark/>
          </w:tcPr>
          <w:p w:rsidR="005A6DC3" w:rsidRPr="005A6DC3" w:rsidRDefault="005A6DC3" w:rsidP="005A6DC3">
            <w:pPr>
              <w:jc w:val="center"/>
              <w:rPr>
                <w:rFonts w:ascii="Arial" w:hAnsi="Arial" w:cs="Arial"/>
                <w:sz w:val="22"/>
                <w:szCs w:val="22"/>
                <w:lang w:eastAsia="en-GB"/>
              </w:rPr>
            </w:pPr>
          </w:p>
        </w:tc>
        <w:tc>
          <w:tcPr>
            <w:tcW w:w="1535" w:type="dxa"/>
            <w:tcBorders>
              <w:top w:val="single" w:sz="4" w:space="0" w:color="auto"/>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377" w:type="dxa"/>
            <w:tcBorders>
              <w:top w:val="single" w:sz="4" w:space="0" w:color="auto"/>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5935" w:type="dxa"/>
            <w:tcBorders>
              <w:top w:val="single" w:sz="4" w:space="0" w:color="auto"/>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662" w:type="dxa"/>
            <w:tcBorders>
              <w:top w:val="single" w:sz="4" w:space="0" w:color="auto"/>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291" w:type="dxa"/>
            <w:tcBorders>
              <w:top w:val="single" w:sz="4" w:space="0" w:color="auto"/>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92"/>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2012-13</w:t>
            </w:r>
          </w:p>
        </w:tc>
        <w:tc>
          <w:tcPr>
            <w:tcW w:w="377" w:type="dxa"/>
            <w:tcBorders>
              <w:top w:val="nil"/>
              <w:left w:val="nil"/>
              <w:bottom w:val="nil"/>
              <w:right w:val="nil"/>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p>
        </w:tc>
        <w:tc>
          <w:tcPr>
            <w:tcW w:w="59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1662" w:type="dxa"/>
            <w:tcBorders>
              <w:top w:val="nil"/>
              <w:left w:val="nil"/>
              <w:bottom w:val="nil"/>
              <w:right w:val="nil"/>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2013-14</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 </w:t>
            </w:r>
          </w:p>
        </w:tc>
      </w:tr>
      <w:tr w:rsidR="005A6DC3" w:rsidRPr="005A6DC3" w:rsidTr="005A6DC3">
        <w:trPr>
          <w:trHeight w:val="306"/>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single" w:sz="8" w:space="0" w:color="auto"/>
              <w:right w:val="nil"/>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w:t>
            </w:r>
          </w:p>
        </w:tc>
        <w:tc>
          <w:tcPr>
            <w:tcW w:w="377" w:type="dxa"/>
            <w:tcBorders>
              <w:top w:val="nil"/>
              <w:left w:val="nil"/>
              <w:bottom w:val="single" w:sz="8" w:space="0" w:color="auto"/>
              <w:right w:val="nil"/>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 </w:t>
            </w:r>
          </w:p>
        </w:tc>
        <w:tc>
          <w:tcPr>
            <w:tcW w:w="5935"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662" w:type="dxa"/>
            <w:tcBorders>
              <w:top w:val="nil"/>
              <w:left w:val="nil"/>
              <w:bottom w:val="single" w:sz="8" w:space="0" w:color="auto"/>
              <w:right w:val="nil"/>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jc w:val="center"/>
              <w:rPr>
                <w:rFonts w:ascii="Arial" w:hAnsi="Arial" w:cs="Arial"/>
                <w:b/>
                <w:bCs/>
                <w:sz w:val="22"/>
                <w:szCs w:val="22"/>
                <w:lang w:eastAsia="en-GB"/>
              </w:rPr>
            </w:pPr>
            <w:r w:rsidRPr="005A6DC3">
              <w:rPr>
                <w:rFonts w:ascii="Arial" w:hAnsi="Arial" w:cs="Arial"/>
                <w:b/>
                <w:bCs/>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1662"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 xml:space="preserve">9,260,990 </w:t>
            </w: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vMerge w:val="restart"/>
            <w:tcBorders>
              <w:top w:val="nil"/>
              <w:left w:val="nil"/>
              <w:bottom w:val="nil"/>
              <w:right w:val="nil"/>
            </w:tcBorders>
            <w:shd w:val="clear" w:color="auto" w:fill="auto"/>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Purchase of property, plant and equipment and intangible assets</w:t>
            </w:r>
          </w:p>
        </w:tc>
        <w:tc>
          <w:tcPr>
            <w:tcW w:w="1662"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 xml:space="preserve">11,897,238 </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vMerge/>
            <w:tcBorders>
              <w:top w:val="nil"/>
              <w:left w:val="nil"/>
              <w:bottom w:val="nil"/>
              <w:right w:val="nil"/>
            </w:tcBorders>
            <w:vAlign w:val="center"/>
            <w:hideMark/>
          </w:tcPr>
          <w:p w:rsidR="005A6DC3" w:rsidRPr="005A6DC3" w:rsidRDefault="005A6DC3" w:rsidP="005A6DC3">
            <w:pPr>
              <w:rPr>
                <w:rFonts w:ascii="Arial" w:hAnsi="Arial" w:cs="Arial"/>
                <w:sz w:val="22"/>
                <w:szCs w:val="22"/>
                <w:lang w:eastAsia="en-GB"/>
              </w:rPr>
            </w:pPr>
          </w:p>
        </w:tc>
        <w:tc>
          <w:tcPr>
            <w:tcW w:w="1662"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 xml:space="preserve">47,513,535 </w:t>
            </w: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Purchase of Short-term and long-term investments</w:t>
            </w:r>
          </w:p>
        </w:tc>
        <w:tc>
          <w:tcPr>
            <w:tcW w:w="1662"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 xml:space="preserve">256,080,955 </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(39,872,219)</w:t>
            </w: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Proceeds from short-term and long-term investments</w:t>
            </w:r>
          </w:p>
        </w:tc>
        <w:tc>
          <w:tcPr>
            <w:tcW w:w="1662"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(252,155,016)</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(4,226,319)</w:t>
            </w: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Proceeds from the sale of property, plant and equipment</w:t>
            </w:r>
          </w:p>
        </w:tc>
        <w:tc>
          <w:tcPr>
            <w:tcW w:w="1662"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(5,576,382)</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77"/>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(29,560)</w:t>
            </w:r>
          </w:p>
        </w:tc>
        <w:tc>
          <w:tcPr>
            <w:tcW w:w="377"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p>
        </w:tc>
        <w:tc>
          <w:tcPr>
            <w:tcW w:w="5935" w:type="dxa"/>
            <w:tcBorders>
              <w:top w:val="nil"/>
              <w:left w:val="nil"/>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Other receipts from investing activities</w:t>
            </w:r>
          </w:p>
        </w:tc>
        <w:tc>
          <w:tcPr>
            <w:tcW w:w="1662" w:type="dxa"/>
            <w:tcBorders>
              <w:top w:val="nil"/>
              <w:left w:val="nil"/>
              <w:bottom w:val="nil"/>
              <w:right w:val="nil"/>
            </w:tcBorders>
            <w:shd w:val="clear" w:color="auto" w:fill="auto"/>
            <w:noWrap/>
            <w:vAlign w:val="bottom"/>
            <w:hideMark/>
          </w:tcPr>
          <w:p w:rsidR="005A6DC3" w:rsidRPr="005A6DC3" w:rsidRDefault="005A6DC3" w:rsidP="005A6DC3">
            <w:pPr>
              <w:jc w:val="right"/>
              <w:rPr>
                <w:rFonts w:ascii="Arial" w:hAnsi="Arial" w:cs="Arial"/>
                <w:sz w:val="22"/>
                <w:szCs w:val="22"/>
                <w:lang w:eastAsia="en-GB"/>
              </w:rPr>
            </w:pPr>
            <w:r w:rsidRPr="005A6DC3">
              <w:rPr>
                <w:rFonts w:ascii="Arial" w:hAnsi="Arial" w:cs="Arial"/>
                <w:sz w:val="22"/>
                <w:szCs w:val="22"/>
                <w:lang w:eastAsia="en-GB"/>
              </w:rPr>
              <w:t>(47,659)</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292"/>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377"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5935"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662"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r w:rsidR="005A6DC3" w:rsidRPr="005A6DC3" w:rsidTr="005A6DC3">
        <w:trPr>
          <w:trHeight w:val="306"/>
          <w:jc w:val="center"/>
        </w:trPr>
        <w:tc>
          <w:tcPr>
            <w:tcW w:w="291" w:type="dxa"/>
            <w:tcBorders>
              <w:top w:val="nil"/>
              <w:left w:val="single" w:sz="4" w:space="0" w:color="auto"/>
              <w:bottom w:val="nil"/>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single" w:sz="8" w:space="0" w:color="auto"/>
              <w:right w:val="nil"/>
            </w:tcBorders>
            <w:shd w:val="clear" w:color="auto" w:fill="auto"/>
            <w:noWrap/>
            <w:vAlign w:val="bottom"/>
            <w:hideMark/>
          </w:tcPr>
          <w:p w:rsidR="005A6DC3" w:rsidRPr="005A6DC3" w:rsidRDefault="005A6DC3" w:rsidP="005A6DC3">
            <w:pPr>
              <w:jc w:val="right"/>
              <w:rPr>
                <w:rFonts w:ascii="Arial" w:hAnsi="Arial" w:cs="Arial"/>
                <w:b/>
                <w:bCs/>
                <w:sz w:val="22"/>
                <w:szCs w:val="22"/>
                <w:lang w:eastAsia="en-GB"/>
              </w:rPr>
            </w:pPr>
            <w:r w:rsidRPr="005A6DC3">
              <w:rPr>
                <w:rFonts w:ascii="Arial" w:hAnsi="Arial" w:cs="Arial"/>
                <w:b/>
                <w:bCs/>
                <w:sz w:val="22"/>
                <w:szCs w:val="22"/>
                <w:lang w:eastAsia="en-GB"/>
              </w:rPr>
              <w:t xml:space="preserve">12,646,427 </w:t>
            </w:r>
          </w:p>
        </w:tc>
        <w:tc>
          <w:tcPr>
            <w:tcW w:w="377"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b/>
                <w:bCs/>
                <w:sz w:val="22"/>
                <w:szCs w:val="22"/>
                <w:lang w:eastAsia="en-GB"/>
              </w:rPr>
            </w:pPr>
            <w:r w:rsidRPr="005A6DC3">
              <w:rPr>
                <w:rFonts w:ascii="Arial" w:hAnsi="Arial" w:cs="Arial"/>
                <w:b/>
                <w:bCs/>
                <w:sz w:val="22"/>
                <w:szCs w:val="22"/>
                <w:lang w:eastAsia="en-GB"/>
              </w:rPr>
              <w:t> </w:t>
            </w:r>
          </w:p>
        </w:tc>
        <w:tc>
          <w:tcPr>
            <w:tcW w:w="5935" w:type="dxa"/>
            <w:tcBorders>
              <w:top w:val="nil"/>
              <w:left w:val="nil"/>
              <w:bottom w:val="single" w:sz="8" w:space="0" w:color="auto"/>
              <w:right w:val="nil"/>
            </w:tcBorders>
            <w:shd w:val="clear" w:color="auto" w:fill="auto"/>
            <w:noWrap/>
            <w:vAlign w:val="bottom"/>
            <w:hideMark/>
          </w:tcPr>
          <w:p w:rsidR="005A6DC3" w:rsidRPr="005A6DC3" w:rsidRDefault="005A6DC3" w:rsidP="005A6DC3">
            <w:pPr>
              <w:rPr>
                <w:rFonts w:ascii="Arial" w:hAnsi="Arial" w:cs="Arial"/>
                <w:b/>
                <w:bCs/>
                <w:sz w:val="22"/>
                <w:szCs w:val="22"/>
                <w:lang w:eastAsia="en-GB"/>
              </w:rPr>
            </w:pPr>
            <w:r w:rsidRPr="005A6DC3">
              <w:rPr>
                <w:rFonts w:ascii="Arial" w:hAnsi="Arial" w:cs="Arial"/>
                <w:b/>
                <w:bCs/>
                <w:sz w:val="22"/>
                <w:szCs w:val="22"/>
                <w:lang w:eastAsia="en-GB"/>
              </w:rPr>
              <w:t> </w:t>
            </w:r>
          </w:p>
        </w:tc>
        <w:tc>
          <w:tcPr>
            <w:tcW w:w="1662" w:type="dxa"/>
            <w:tcBorders>
              <w:top w:val="nil"/>
              <w:left w:val="nil"/>
              <w:bottom w:val="single" w:sz="8" w:space="0" w:color="auto"/>
              <w:right w:val="nil"/>
            </w:tcBorders>
            <w:shd w:val="clear" w:color="auto" w:fill="auto"/>
            <w:noWrap/>
            <w:vAlign w:val="bottom"/>
            <w:hideMark/>
          </w:tcPr>
          <w:p w:rsidR="005A6DC3" w:rsidRPr="005A6DC3" w:rsidRDefault="005A6DC3" w:rsidP="005A6DC3">
            <w:pPr>
              <w:jc w:val="right"/>
              <w:rPr>
                <w:rFonts w:ascii="Arial" w:hAnsi="Arial" w:cs="Arial"/>
                <w:b/>
                <w:bCs/>
                <w:sz w:val="22"/>
                <w:szCs w:val="22"/>
                <w:lang w:eastAsia="en-GB"/>
              </w:rPr>
            </w:pPr>
            <w:r w:rsidRPr="005A6DC3">
              <w:rPr>
                <w:rFonts w:ascii="Arial" w:hAnsi="Arial" w:cs="Arial"/>
                <w:b/>
                <w:bCs/>
                <w:sz w:val="22"/>
                <w:szCs w:val="22"/>
                <w:lang w:eastAsia="en-GB"/>
              </w:rPr>
              <w:t xml:space="preserve">10,199,136 </w:t>
            </w:r>
          </w:p>
        </w:tc>
        <w:tc>
          <w:tcPr>
            <w:tcW w:w="291" w:type="dxa"/>
            <w:tcBorders>
              <w:top w:val="nil"/>
              <w:left w:val="nil"/>
              <w:bottom w:val="nil"/>
              <w:right w:val="single" w:sz="4" w:space="0" w:color="auto"/>
            </w:tcBorders>
            <w:shd w:val="clear" w:color="auto" w:fill="auto"/>
            <w:noWrap/>
            <w:vAlign w:val="bottom"/>
            <w:hideMark/>
          </w:tcPr>
          <w:p w:rsidR="005A6DC3" w:rsidRPr="005A6DC3" w:rsidRDefault="005A6DC3" w:rsidP="005A6DC3">
            <w:pPr>
              <w:rPr>
                <w:rFonts w:ascii="Arial" w:hAnsi="Arial" w:cs="Arial"/>
                <w:b/>
                <w:bCs/>
                <w:sz w:val="22"/>
                <w:szCs w:val="22"/>
                <w:lang w:eastAsia="en-GB"/>
              </w:rPr>
            </w:pPr>
            <w:r w:rsidRPr="005A6DC3">
              <w:rPr>
                <w:rFonts w:ascii="Arial" w:hAnsi="Arial" w:cs="Arial"/>
                <w:b/>
                <w:bCs/>
                <w:sz w:val="22"/>
                <w:szCs w:val="22"/>
                <w:lang w:eastAsia="en-GB"/>
              </w:rPr>
              <w:t> </w:t>
            </w:r>
          </w:p>
        </w:tc>
      </w:tr>
      <w:tr w:rsidR="005A6DC3" w:rsidRPr="005A6DC3" w:rsidTr="005A6DC3">
        <w:trPr>
          <w:trHeight w:val="277"/>
          <w:jc w:val="center"/>
        </w:trPr>
        <w:tc>
          <w:tcPr>
            <w:tcW w:w="291" w:type="dxa"/>
            <w:tcBorders>
              <w:top w:val="nil"/>
              <w:left w:val="single" w:sz="4" w:space="0" w:color="auto"/>
              <w:bottom w:val="single" w:sz="4"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535" w:type="dxa"/>
            <w:tcBorders>
              <w:top w:val="nil"/>
              <w:left w:val="nil"/>
              <w:bottom w:val="single" w:sz="4"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377" w:type="dxa"/>
            <w:tcBorders>
              <w:top w:val="nil"/>
              <w:left w:val="nil"/>
              <w:bottom w:val="single" w:sz="4"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5935" w:type="dxa"/>
            <w:tcBorders>
              <w:top w:val="nil"/>
              <w:left w:val="nil"/>
              <w:bottom w:val="single" w:sz="4"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1662" w:type="dxa"/>
            <w:tcBorders>
              <w:top w:val="nil"/>
              <w:left w:val="nil"/>
              <w:bottom w:val="single" w:sz="4" w:space="0" w:color="auto"/>
              <w:right w:val="nil"/>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c>
          <w:tcPr>
            <w:tcW w:w="291" w:type="dxa"/>
            <w:tcBorders>
              <w:top w:val="nil"/>
              <w:left w:val="nil"/>
              <w:bottom w:val="single" w:sz="4" w:space="0" w:color="auto"/>
              <w:right w:val="single" w:sz="4" w:space="0" w:color="auto"/>
            </w:tcBorders>
            <w:shd w:val="clear" w:color="auto" w:fill="auto"/>
            <w:noWrap/>
            <w:vAlign w:val="bottom"/>
            <w:hideMark/>
          </w:tcPr>
          <w:p w:rsidR="005A6DC3" w:rsidRPr="005A6DC3" w:rsidRDefault="005A6DC3" w:rsidP="005A6DC3">
            <w:pPr>
              <w:rPr>
                <w:rFonts w:ascii="Arial" w:hAnsi="Arial" w:cs="Arial"/>
                <w:sz w:val="22"/>
                <w:szCs w:val="22"/>
                <w:lang w:eastAsia="en-GB"/>
              </w:rPr>
            </w:pPr>
            <w:r w:rsidRPr="005A6DC3">
              <w:rPr>
                <w:rFonts w:ascii="Arial" w:hAnsi="Arial" w:cs="Arial"/>
                <w:sz w:val="22"/>
                <w:szCs w:val="22"/>
                <w:lang w:eastAsia="en-GB"/>
              </w:rPr>
              <w:t> </w:t>
            </w:r>
          </w:p>
        </w:tc>
      </w:tr>
    </w:tbl>
    <w:p w:rsidR="00864D14" w:rsidRDefault="00864D14" w:rsidP="00CA7462">
      <w:pPr>
        <w:pStyle w:val="xl65"/>
        <w:spacing w:before="0" w:beforeAutospacing="0" w:after="0" w:afterAutospacing="0"/>
        <w:rPr>
          <w:rFonts w:eastAsia="Times New Roman"/>
          <w:bCs/>
          <w:szCs w:val="20"/>
        </w:rPr>
      </w:pPr>
    </w:p>
    <w:p w:rsidR="00E90461" w:rsidRDefault="00E90461">
      <w:pPr>
        <w:pStyle w:val="xl65"/>
        <w:spacing w:before="0" w:beforeAutospacing="0" w:after="0" w:afterAutospacing="0"/>
        <w:rPr>
          <w:rFonts w:eastAsia="Times New Roman"/>
          <w:b/>
          <w:bCs/>
          <w:color w:val="003399"/>
          <w:sz w:val="24"/>
          <w:szCs w:val="24"/>
        </w:rPr>
      </w:pPr>
    </w:p>
    <w:p w:rsidR="00E90461" w:rsidRDefault="00E90461">
      <w:pPr>
        <w:pStyle w:val="xl65"/>
        <w:spacing w:before="0" w:beforeAutospacing="0" w:after="0" w:afterAutospacing="0"/>
        <w:rPr>
          <w:rFonts w:eastAsia="Times New Roman"/>
          <w:b/>
          <w:bCs/>
          <w:color w:val="003399"/>
          <w:sz w:val="24"/>
          <w:szCs w:val="24"/>
        </w:rPr>
      </w:pPr>
    </w:p>
    <w:p w:rsidR="00E57341" w:rsidRDefault="00672827">
      <w:pPr>
        <w:pStyle w:val="xl65"/>
        <w:spacing w:before="0" w:beforeAutospacing="0" w:after="0" w:afterAutospacing="0"/>
        <w:rPr>
          <w:rFonts w:eastAsia="Times New Roman"/>
          <w:b/>
          <w:bCs/>
          <w:color w:val="003399"/>
          <w:sz w:val="24"/>
          <w:szCs w:val="24"/>
        </w:rPr>
      </w:pPr>
      <w:r w:rsidRPr="00672827">
        <w:rPr>
          <w:rFonts w:eastAsia="Times New Roman"/>
          <w:b/>
          <w:bCs/>
          <w:color w:val="003399"/>
          <w:sz w:val="24"/>
          <w:szCs w:val="24"/>
        </w:rPr>
        <w:t>15</w:t>
      </w:r>
      <w:r w:rsidR="00E57341" w:rsidRPr="00672827">
        <w:rPr>
          <w:rFonts w:eastAsia="Times New Roman"/>
          <w:bCs/>
          <w:color w:val="003399"/>
          <w:sz w:val="24"/>
          <w:szCs w:val="24"/>
        </w:rPr>
        <w:t xml:space="preserve">    </w:t>
      </w:r>
      <w:r w:rsidR="00E57341" w:rsidRPr="00672827">
        <w:rPr>
          <w:rFonts w:eastAsia="Times New Roman"/>
          <w:bCs/>
          <w:color w:val="003399"/>
          <w:szCs w:val="20"/>
        </w:rPr>
        <w:t xml:space="preserve">    </w:t>
      </w:r>
      <w:r w:rsidR="00E57341" w:rsidRPr="00672827">
        <w:rPr>
          <w:rFonts w:eastAsia="Times New Roman"/>
          <w:b/>
          <w:bCs/>
          <w:color w:val="003399"/>
          <w:sz w:val="24"/>
          <w:szCs w:val="24"/>
        </w:rPr>
        <w:t>Financing Activities</w:t>
      </w:r>
    </w:p>
    <w:p w:rsidR="00E90461" w:rsidRPr="00E57341" w:rsidRDefault="00E90461">
      <w:pPr>
        <w:pStyle w:val="xl65"/>
        <w:spacing w:before="0" w:beforeAutospacing="0" w:after="0" w:afterAutospacing="0"/>
        <w:rPr>
          <w:rFonts w:eastAsia="Times New Roman"/>
          <w:b/>
          <w:bCs/>
          <w:color w:val="003399"/>
          <w:sz w:val="24"/>
          <w:szCs w:val="24"/>
        </w:rPr>
      </w:pPr>
    </w:p>
    <w:p w:rsidR="00E57341" w:rsidRDefault="00E57341">
      <w:pPr>
        <w:pStyle w:val="xl65"/>
        <w:spacing w:before="0" w:beforeAutospacing="0" w:after="0" w:afterAutospacing="0"/>
        <w:rPr>
          <w:rFonts w:eastAsia="Times New Roman"/>
          <w:bCs/>
          <w:szCs w:val="20"/>
        </w:rPr>
      </w:pPr>
    </w:p>
    <w:tbl>
      <w:tblPr>
        <w:tblW w:w="8674" w:type="dxa"/>
        <w:tblInd w:w="93" w:type="dxa"/>
        <w:tblLook w:val="04A0" w:firstRow="1" w:lastRow="0" w:firstColumn="1" w:lastColumn="0" w:noHBand="0" w:noVBand="1"/>
      </w:tblPr>
      <w:tblGrid>
        <w:gridCol w:w="301"/>
        <w:gridCol w:w="1364"/>
        <w:gridCol w:w="301"/>
        <w:gridCol w:w="4980"/>
        <w:gridCol w:w="1427"/>
        <w:gridCol w:w="301"/>
      </w:tblGrid>
      <w:tr w:rsidR="00241E81" w:rsidRPr="00241E81" w:rsidTr="00241E81">
        <w:trPr>
          <w:trHeight w:val="168"/>
        </w:trPr>
        <w:tc>
          <w:tcPr>
            <w:tcW w:w="301" w:type="dxa"/>
            <w:tcBorders>
              <w:top w:val="single" w:sz="4" w:space="0" w:color="auto"/>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single" w:sz="4" w:space="0" w:color="auto"/>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301" w:type="dxa"/>
            <w:tcBorders>
              <w:top w:val="single" w:sz="4" w:space="0" w:color="auto"/>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4980" w:type="dxa"/>
            <w:tcBorders>
              <w:top w:val="single" w:sz="4" w:space="0" w:color="auto"/>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427" w:type="dxa"/>
            <w:tcBorders>
              <w:top w:val="single" w:sz="4" w:space="0" w:color="auto"/>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301" w:type="dxa"/>
            <w:tcBorders>
              <w:top w:val="single" w:sz="4" w:space="0" w:color="auto"/>
              <w:left w:val="nil"/>
              <w:bottom w:val="nil"/>
              <w:right w:val="single" w:sz="4" w:space="0" w:color="auto"/>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r>
      <w:tr w:rsidR="00241E81" w:rsidRPr="00241E81" w:rsidTr="00241E81">
        <w:trPr>
          <w:trHeight w:val="305"/>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nil"/>
              <w:right w:val="nil"/>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2012-13</w:t>
            </w:r>
          </w:p>
        </w:tc>
        <w:tc>
          <w:tcPr>
            <w:tcW w:w="301" w:type="dxa"/>
            <w:tcBorders>
              <w:top w:val="nil"/>
              <w:left w:val="nil"/>
              <w:bottom w:val="nil"/>
              <w:right w:val="nil"/>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p>
        </w:tc>
        <w:tc>
          <w:tcPr>
            <w:tcW w:w="4980"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1427" w:type="dxa"/>
            <w:tcBorders>
              <w:top w:val="nil"/>
              <w:left w:val="nil"/>
              <w:bottom w:val="nil"/>
              <w:right w:val="nil"/>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2013-14</w:t>
            </w: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 </w:t>
            </w:r>
          </w:p>
        </w:tc>
      </w:tr>
      <w:tr w:rsidR="00241E81" w:rsidRPr="00241E81" w:rsidTr="00241E81">
        <w:trPr>
          <w:trHeight w:val="320"/>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single" w:sz="8" w:space="0" w:color="auto"/>
              <w:right w:val="nil"/>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w:t>
            </w:r>
          </w:p>
        </w:tc>
        <w:tc>
          <w:tcPr>
            <w:tcW w:w="301" w:type="dxa"/>
            <w:tcBorders>
              <w:top w:val="nil"/>
              <w:left w:val="nil"/>
              <w:bottom w:val="single" w:sz="8" w:space="0" w:color="auto"/>
              <w:right w:val="nil"/>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 </w:t>
            </w:r>
          </w:p>
        </w:tc>
        <w:tc>
          <w:tcPr>
            <w:tcW w:w="4980"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427" w:type="dxa"/>
            <w:tcBorders>
              <w:top w:val="nil"/>
              <w:left w:val="nil"/>
              <w:bottom w:val="single" w:sz="8" w:space="0" w:color="auto"/>
              <w:right w:val="nil"/>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w:t>
            </w: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jc w:val="center"/>
              <w:rPr>
                <w:rFonts w:ascii="Arial" w:hAnsi="Arial" w:cs="Arial"/>
                <w:b/>
                <w:bCs/>
                <w:sz w:val="22"/>
                <w:szCs w:val="22"/>
                <w:lang w:eastAsia="en-GB"/>
              </w:rPr>
            </w:pPr>
            <w:r w:rsidRPr="00241E81">
              <w:rPr>
                <w:rFonts w:ascii="Arial" w:hAnsi="Arial" w:cs="Arial"/>
                <w:b/>
                <w:bCs/>
                <w:sz w:val="22"/>
                <w:szCs w:val="22"/>
                <w:lang w:eastAsia="en-GB"/>
              </w:rPr>
              <w:t> </w:t>
            </w:r>
          </w:p>
        </w:tc>
      </w:tr>
      <w:tr w:rsidR="00241E81" w:rsidRPr="00241E81" w:rsidTr="00241E81">
        <w:trPr>
          <w:trHeight w:val="290"/>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301"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4980"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1427"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r>
      <w:tr w:rsidR="00241E81" w:rsidRPr="00241E81" w:rsidTr="00241E81">
        <w:trPr>
          <w:trHeight w:val="290"/>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nil"/>
              <w:right w:val="nil"/>
            </w:tcBorders>
            <w:shd w:val="clear" w:color="auto" w:fill="auto"/>
            <w:noWrap/>
            <w:vAlign w:val="bottom"/>
            <w:hideMark/>
          </w:tcPr>
          <w:p w:rsidR="00241E81" w:rsidRPr="00241E81" w:rsidRDefault="00241E81" w:rsidP="00241E81">
            <w:pPr>
              <w:jc w:val="right"/>
              <w:rPr>
                <w:rFonts w:ascii="Arial" w:hAnsi="Arial" w:cs="Arial"/>
                <w:sz w:val="22"/>
                <w:szCs w:val="22"/>
                <w:lang w:eastAsia="en-GB"/>
              </w:rPr>
            </w:pPr>
            <w:r w:rsidRPr="00241E81">
              <w:rPr>
                <w:rFonts w:ascii="Arial" w:hAnsi="Arial" w:cs="Arial"/>
                <w:sz w:val="22"/>
                <w:szCs w:val="22"/>
                <w:lang w:eastAsia="en-GB"/>
              </w:rPr>
              <w:t xml:space="preserve">1,625,439 </w:t>
            </w:r>
          </w:p>
        </w:tc>
        <w:tc>
          <w:tcPr>
            <w:tcW w:w="301"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4980"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Other receipts from financing activities</w:t>
            </w:r>
          </w:p>
        </w:tc>
        <w:tc>
          <w:tcPr>
            <w:tcW w:w="1427" w:type="dxa"/>
            <w:tcBorders>
              <w:top w:val="nil"/>
              <w:left w:val="nil"/>
              <w:bottom w:val="nil"/>
              <w:right w:val="nil"/>
            </w:tcBorders>
            <w:shd w:val="clear" w:color="auto" w:fill="auto"/>
            <w:noWrap/>
            <w:vAlign w:val="bottom"/>
            <w:hideMark/>
          </w:tcPr>
          <w:p w:rsidR="00241E81" w:rsidRPr="00241E81" w:rsidRDefault="00241E81" w:rsidP="00241E81">
            <w:pPr>
              <w:jc w:val="right"/>
              <w:rPr>
                <w:rFonts w:ascii="Arial" w:hAnsi="Arial" w:cs="Arial"/>
                <w:sz w:val="22"/>
                <w:szCs w:val="22"/>
                <w:lang w:eastAsia="en-GB"/>
              </w:rPr>
            </w:pPr>
            <w:r w:rsidRPr="00241E81">
              <w:rPr>
                <w:rFonts w:ascii="Arial" w:hAnsi="Arial" w:cs="Arial"/>
                <w:sz w:val="22"/>
                <w:szCs w:val="22"/>
                <w:lang w:eastAsia="en-GB"/>
              </w:rPr>
              <w:t xml:space="preserve">6,730,028 </w:t>
            </w: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r>
      <w:tr w:rsidR="00241E81" w:rsidRPr="00241E81" w:rsidTr="00241E81">
        <w:trPr>
          <w:trHeight w:val="290"/>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nil"/>
              <w:right w:val="nil"/>
            </w:tcBorders>
            <w:shd w:val="clear" w:color="auto" w:fill="auto"/>
            <w:noWrap/>
            <w:vAlign w:val="bottom"/>
            <w:hideMark/>
          </w:tcPr>
          <w:p w:rsidR="00241E81" w:rsidRPr="00241E81" w:rsidRDefault="00241E81" w:rsidP="00241E81">
            <w:pPr>
              <w:jc w:val="right"/>
              <w:rPr>
                <w:rFonts w:ascii="Arial" w:hAnsi="Arial" w:cs="Arial"/>
                <w:sz w:val="22"/>
                <w:szCs w:val="22"/>
                <w:lang w:eastAsia="en-GB"/>
              </w:rPr>
            </w:pPr>
            <w:r w:rsidRPr="00241E81">
              <w:rPr>
                <w:rFonts w:ascii="Arial" w:hAnsi="Arial" w:cs="Arial"/>
                <w:sz w:val="22"/>
                <w:szCs w:val="22"/>
                <w:lang w:eastAsia="en-GB"/>
              </w:rPr>
              <w:t xml:space="preserve">7,192,805 </w:t>
            </w:r>
          </w:p>
        </w:tc>
        <w:tc>
          <w:tcPr>
            <w:tcW w:w="301"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p>
        </w:tc>
        <w:tc>
          <w:tcPr>
            <w:tcW w:w="4980" w:type="dxa"/>
            <w:tcBorders>
              <w:top w:val="nil"/>
              <w:left w:val="nil"/>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Other payments for financing activities</w:t>
            </w:r>
          </w:p>
        </w:tc>
        <w:tc>
          <w:tcPr>
            <w:tcW w:w="1427" w:type="dxa"/>
            <w:tcBorders>
              <w:top w:val="nil"/>
              <w:left w:val="nil"/>
              <w:bottom w:val="nil"/>
              <w:right w:val="nil"/>
            </w:tcBorders>
            <w:shd w:val="clear" w:color="auto" w:fill="auto"/>
            <w:noWrap/>
            <w:vAlign w:val="bottom"/>
            <w:hideMark/>
          </w:tcPr>
          <w:p w:rsidR="00241E81" w:rsidRPr="00241E81" w:rsidRDefault="00241E81" w:rsidP="00241E81">
            <w:pPr>
              <w:jc w:val="right"/>
              <w:rPr>
                <w:rFonts w:ascii="Arial" w:hAnsi="Arial" w:cs="Arial"/>
                <w:sz w:val="22"/>
                <w:szCs w:val="22"/>
                <w:lang w:eastAsia="en-GB"/>
              </w:rPr>
            </w:pPr>
            <w:r w:rsidRPr="00241E81">
              <w:rPr>
                <w:rFonts w:ascii="Arial" w:hAnsi="Arial" w:cs="Arial"/>
                <w:sz w:val="22"/>
                <w:szCs w:val="22"/>
                <w:lang w:eastAsia="en-GB"/>
              </w:rPr>
              <w:t xml:space="preserve">7,192,805 </w:t>
            </w: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r>
      <w:tr w:rsidR="00241E81" w:rsidRPr="00241E81" w:rsidTr="00241E81">
        <w:trPr>
          <w:trHeight w:val="305"/>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301"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4980"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427"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r>
      <w:tr w:rsidR="00241E81" w:rsidRPr="00241E81" w:rsidTr="00241E81">
        <w:trPr>
          <w:trHeight w:val="320"/>
        </w:trPr>
        <w:tc>
          <w:tcPr>
            <w:tcW w:w="301" w:type="dxa"/>
            <w:tcBorders>
              <w:top w:val="nil"/>
              <w:left w:val="single" w:sz="4" w:space="0" w:color="auto"/>
              <w:bottom w:val="nil"/>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single" w:sz="8" w:space="0" w:color="auto"/>
              <w:right w:val="nil"/>
            </w:tcBorders>
            <w:shd w:val="clear" w:color="auto" w:fill="auto"/>
            <w:noWrap/>
            <w:vAlign w:val="bottom"/>
            <w:hideMark/>
          </w:tcPr>
          <w:p w:rsidR="00241E81" w:rsidRPr="00241E81" w:rsidRDefault="00241E81" w:rsidP="00241E81">
            <w:pPr>
              <w:jc w:val="right"/>
              <w:rPr>
                <w:rFonts w:ascii="Arial" w:hAnsi="Arial" w:cs="Arial"/>
                <w:b/>
                <w:bCs/>
                <w:sz w:val="22"/>
                <w:szCs w:val="22"/>
                <w:lang w:eastAsia="en-GB"/>
              </w:rPr>
            </w:pPr>
            <w:r w:rsidRPr="00241E81">
              <w:rPr>
                <w:rFonts w:ascii="Arial" w:hAnsi="Arial" w:cs="Arial"/>
                <w:b/>
                <w:bCs/>
                <w:sz w:val="22"/>
                <w:szCs w:val="22"/>
                <w:lang w:eastAsia="en-GB"/>
              </w:rPr>
              <w:t xml:space="preserve">8,818,244 </w:t>
            </w:r>
          </w:p>
        </w:tc>
        <w:tc>
          <w:tcPr>
            <w:tcW w:w="301"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b/>
                <w:bCs/>
                <w:sz w:val="22"/>
                <w:szCs w:val="22"/>
                <w:lang w:eastAsia="en-GB"/>
              </w:rPr>
            </w:pPr>
            <w:r w:rsidRPr="00241E81">
              <w:rPr>
                <w:rFonts w:ascii="Arial" w:hAnsi="Arial" w:cs="Arial"/>
                <w:b/>
                <w:bCs/>
                <w:sz w:val="22"/>
                <w:szCs w:val="22"/>
                <w:lang w:eastAsia="en-GB"/>
              </w:rPr>
              <w:t> </w:t>
            </w:r>
          </w:p>
        </w:tc>
        <w:tc>
          <w:tcPr>
            <w:tcW w:w="4980" w:type="dxa"/>
            <w:tcBorders>
              <w:top w:val="nil"/>
              <w:left w:val="nil"/>
              <w:bottom w:val="single" w:sz="8" w:space="0" w:color="auto"/>
              <w:right w:val="nil"/>
            </w:tcBorders>
            <w:shd w:val="clear" w:color="auto" w:fill="auto"/>
            <w:noWrap/>
            <w:vAlign w:val="bottom"/>
            <w:hideMark/>
          </w:tcPr>
          <w:p w:rsidR="00241E81" w:rsidRPr="00241E81" w:rsidRDefault="00241E81" w:rsidP="00241E81">
            <w:pPr>
              <w:rPr>
                <w:rFonts w:ascii="Arial" w:hAnsi="Arial" w:cs="Arial"/>
                <w:b/>
                <w:bCs/>
                <w:sz w:val="22"/>
                <w:szCs w:val="22"/>
                <w:lang w:eastAsia="en-GB"/>
              </w:rPr>
            </w:pPr>
            <w:r w:rsidRPr="00241E81">
              <w:rPr>
                <w:rFonts w:ascii="Arial" w:hAnsi="Arial" w:cs="Arial"/>
                <w:b/>
                <w:bCs/>
                <w:sz w:val="22"/>
                <w:szCs w:val="22"/>
                <w:lang w:eastAsia="en-GB"/>
              </w:rPr>
              <w:t> </w:t>
            </w:r>
          </w:p>
        </w:tc>
        <w:tc>
          <w:tcPr>
            <w:tcW w:w="1427" w:type="dxa"/>
            <w:tcBorders>
              <w:top w:val="nil"/>
              <w:left w:val="nil"/>
              <w:bottom w:val="single" w:sz="8" w:space="0" w:color="auto"/>
              <w:right w:val="nil"/>
            </w:tcBorders>
            <w:shd w:val="clear" w:color="auto" w:fill="auto"/>
            <w:noWrap/>
            <w:vAlign w:val="bottom"/>
            <w:hideMark/>
          </w:tcPr>
          <w:p w:rsidR="00241E81" w:rsidRPr="00241E81" w:rsidRDefault="00241E81" w:rsidP="00241E81">
            <w:pPr>
              <w:jc w:val="right"/>
              <w:rPr>
                <w:rFonts w:ascii="Arial" w:hAnsi="Arial" w:cs="Arial"/>
                <w:b/>
                <w:bCs/>
                <w:sz w:val="22"/>
                <w:szCs w:val="22"/>
                <w:lang w:eastAsia="en-GB"/>
              </w:rPr>
            </w:pPr>
            <w:r w:rsidRPr="00241E81">
              <w:rPr>
                <w:rFonts w:ascii="Arial" w:hAnsi="Arial" w:cs="Arial"/>
                <w:b/>
                <w:bCs/>
                <w:sz w:val="22"/>
                <w:szCs w:val="22"/>
                <w:lang w:eastAsia="en-GB"/>
              </w:rPr>
              <w:t xml:space="preserve">13,922,833 </w:t>
            </w:r>
          </w:p>
        </w:tc>
        <w:tc>
          <w:tcPr>
            <w:tcW w:w="301" w:type="dxa"/>
            <w:tcBorders>
              <w:top w:val="nil"/>
              <w:left w:val="nil"/>
              <w:bottom w:val="nil"/>
              <w:right w:val="single" w:sz="4" w:space="0" w:color="auto"/>
            </w:tcBorders>
            <w:shd w:val="clear" w:color="auto" w:fill="auto"/>
            <w:noWrap/>
            <w:vAlign w:val="bottom"/>
            <w:hideMark/>
          </w:tcPr>
          <w:p w:rsidR="00241E81" w:rsidRPr="00241E81" w:rsidRDefault="00241E81" w:rsidP="00241E81">
            <w:pPr>
              <w:rPr>
                <w:rFonts w:ascii="Arial" w:hAnsi="Arial" w:cs="Arial"/>
                <w:b/>
                <w:bCs/>
                <w:sz w:val="22"/>
                <w:szCs w:val="22"/>
                <w:lang w:eastAsia="en-GB"/>
              </w:rPr>
            </w:pPr>
            <w:r w:rsidRPr="00241E81">
              <w:rPr>
                <w:rFonts w:ascii="Arial" w:hAnsi="Arial" w:cs="Arial"/>
                <w:b/>
                <w:bCs/>
                <w:sz w:val="22"/>
                <w:szCs w:val="22"/>
                <w:lang w:eastAsia="en-GB"/>
              </w:rPr>
              <w:t> </w:t>
            </w:r>
          </w:p>
        </w:tc>
      </w:tr>
      <w:tr w:rsidR="00241E81" w:rsidRPr="00241E81" w:rsidTr="00241E81">
        <w:trPr>
          <w:trHeight w:val="198"/>
        </w:trPr>
        <w:tc>
          <w:tcPr>
            <w:tcW w:w="301" w:type="dxa"/>
            <w:tcBorders>
              <w:top w:val="nil"/>
              <w:left w:val="single" w:sz="4" w:space="0" w:color="auto"/>
              <w:bottom w:val="single" w:sz="4"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364" w:type="dxa"/>
            <w:tcBorders>
              <w:top w:val="nil"/>
              <w:left w:val="nil"/>
              <w:bottom w:val="single" w:sz="4"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301" w:type="dxa"/>
            <w:tcBorders>
              <w:top w:val="nil"/>
              <w:left w:val="nil"/>
              <w:bottom w:val="single" w:sz="4"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4980" w:type="dxa"/>
            <w:tcBorders>
              <w:top w:val="nil"/>
              <w:left w:val="nil"/>
              <w:bottom w:val="single" w:sz="4"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1427" w:type="dxa"/>
            <w:tcBorders>
              <w:top w:val="nil"/>
              <w:left w:val="nil"/>
              <w:bottom w:val="single" w:sz="4" w:space="0" w:color="auto"/>
              <w:right w:val="nil"/>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c>
          <w:tcPr>
            <w:tcW w:w="301" w:type="dxa"/>
            <w:tcBorders>
              <w:top w:val="nil"/>
              <w:left w:val="nil"/>
              <w:bottom w:val="single" w:sz="4" w:space="0" w:color="auto"/>
              <w:right w:val="single" w:sz="4" w:space="0" w:color="auto"/>
            </w:tcBorders>
            <w:shd w:val="clear" w:color="auto" w:fill="auto"/>
            <w:noWrap/>
            <w:vAlign w:val="bottom"/>
            <w:hideMark/>
          </w:tcPr>
          <w:p w:rsidR="00241E81" w:rsidRPr="00241E81" w:rsidRDefault="00241E81" w:rsidP="00241E81">
            <w:pPr>
              <w:rPr>
                <w:rFonts w:ascii="Arial" w:hAnsi="Arial" w:cs="Arial"/>
                <w:sz w:val="22"/>
                <w:szCs w:val="22"/>
                <w:lang w:eastAsia="en-GB"/>
              </w:rPr>
            </w:pPr>
            <w:r w:rsidRPr="00241E81">
              <w:rPr>
                <w:rFonts w:ascii="Arial" w:hAnsi="Arial" w:cs="Arial"/>
                <w:sz w:val="22"/>
                <w:szCs w:val="22"/>
                <w:lang w:eastAsia="en-GB"/>
              </w:rPr>
              <w:t> </w:t>
            </w:r>
          </w:p>
        </w:tc>
      </w:tr>
    </w:tbl>
    <w:p w:rsidR="00E57341" w:rsidRDefault="00E57341">
      <w:pPr>
        <w:pStyle w:val="xl65"/>
        <w:spacing w:before="0" w:beforeAutospacing="0" w:after="0" w:afterAutospacing="0"/>
        <w:rPr>
          <w:rFonts w:eastAsia="Times New Roman"/>
          <w:bCs/>
          <w:szCs w:val="20"/>
        </w:rPr>
      </w:pPr>
    </w:p>
    <w:p w:rsidR="00E57341" w:rsidRDefault="00E57341">
      <w:pPr>
        <w:pStyle w:val="xl65"/>
        <w:spacing w:before="0" w:beforeAutospacing="0" w:after="0" w:afterAutospacing="0"/>
        <w:rPr>
          <w:rFonts w:eastAsia="Times New Roman"/>
          <w:bCs/>
          <w:szCs w:val="20"/>
        </w:rPr>
      </w:pPr>
    </w:p>
    <w:p w:rsidR="00E57341" w:rsidRDefault="00E57341">
      <w:pPr>
        <w:pStyle w:val="xl65"/>
        <w:spacing w:before="0" w:beforeAutospacing="0" w:after="0" w:afterAutospacing="0"/>
        <w:rPr>
          <w:rFonts w:eastAsia="Times New Roman"/>
          <w:bCs/>
          <w:szCs w:val="20"/>
        </w:rPr>
      </w:pPr>
    </w:p>
    <w:p w:rsidR="00E57341" w:rsidRDefault="00E57341">
      <w:pPr>
        <w:pStyle w:val="xl65"/>
        <w:spacing w:before="0" w:beforeAutospacing="0" w:after="0" w:afterAutospacing="0"/>
        <w:rPr>
          <w:rFonts w:eastAsia="Times New Roman"/>
          <w:bCs/>
          <w:szCs w:val="20"/>
        </w:rPr>
      </w:pPr>
    </w:p>
    <w:p w:rsidR="00E57341" w:rsidRDefault="00E57341">
      <w:pPr>
        <w:pStyle w:val="xl65"/>
        <w:spacing w:before="0" w:beforeAutospacing="0" w:after="0" w:afterAutospacing="0"/>
        <w:rPr>
          <w:rFonts w:eastAsia="Times New Roman"/>
          <w:bCs/>
          <w:szCs w:val="20"/>
        </w:rPr>
      </w:pPr>
    </w:p>
    <w:p w:rsidR="00E57341" w:rsidRDefault="00E57341">
      <w:pPr>
        <w:pStyle w:val="xl65"/>
        <w:spacing w:before="0" w:beforeAutospacing="0" w:after="0" w:afterAutospacing="0"/>
        <w:rPr>
          <w:rFonts w:eastAsia="Times New Roman"/>
          <w:bCs/>
          <w:szCs w:val="20"/>
        </w:rPr>
      </w:pPr>
    </w:p>
    <w:p w:rsidR="00F23FFF" w:rsidRDefault="003552BC">
      <w:pPr>
        <w:pStyle w:val="xl50"/>
        <w:spacing w:before="0" w:beforeAutospacing="0" w:after="0" w:afterAutospacing="0"/>
        <w:rPr>
          <w:rFonts w:eastAsia="Times New Roman"/>
          <w:bCs w:val="0"/>
          <w:szCs w:val="20"/>
        </w:rPr>
      </w:pPr>
      <w:r>
        <w:rPr>
          <w:rFonts w:eastAsia="Times New Roman"/>
          <w:bCs w:val="0"/>
          <w:szCs w:val="20"/>
        </w:rPr>
        <w:t>1</w:t>
      </w:r>
      <w:r w:rsidR="00672827">
        <w:rPr>
          <w:rFonts w:eastAsia="Times New Roman"/>
          <w:bCs w:val="0"/>
          <w:szCs w:val="20"/>
        </w:rPr>
        <w:t>6</w:t>
      </w:r>
      <w:r>
        <w:rPr>
          <w:rFonts w:eastAsia="Times New Roman"/>
          <w:bCs w:val="0"/>
          <w:szCs w:val="20"/>
        </w:rPr>
        <w:t xml:space="preserve">     Cash and Cash Equivalents</w:t>
      </w:r>
    </w:p>
    <w:p w:rsidR="00F23FFF" w:rsidRDefault="00F23FFF">
      <w:pPr>
        <w:pStyle w:val="xl50"/>
        <w:spacing w:before="0" w:beforeAutospacing="0" w:after="0" w:afterAutospacing="0"/>
        <w:rPr>
          <w:rFonts w:eastAsia="Times New Roman"/>
          <w:bCs w:val="0"/>
          <w:szCs w:val="20"/>
        </w:rPr>
      </w:pPr>
    </w:p>
    <w:p w:rsidR="00F23FFF" w:rsidRDefault="003552BC">
      <w:pPr>
        <w:pStyle w:val="xl50"/>
        <w:spacing w:before="0" w:beforeAutospacing="0" w:after="0" w:afterAutospacing="0"/>
        <w:ind w:left="567"/>
        <w:rPr>
          <w:rFonts w:eastAsia="Times New Roman"/>
          <w:b w:val="0"/>
          <w:sz w:val="22"/>
          <w:szCs w:val="20"/>
        </w:rPr>
      </w:pPr>
      <w:r>
        <w:rPr>
          <w:rFonts w:eastAsia="Times New Roman"/>
          <w:b w:val="0"/>
          <w:sz w:val="22"/>
          <w:szCs w:val="20"/>
        </w:rPr>
        <w:t>The balance of Cash and cash Equivalents is made up of the following elements:</w:t>
      </w:r>
    </w:p>
    <w:p w:rsidR="00F23FFF" w:rsidRDefault="00F23FFF">
      <w:pPr>
        <w:pStyle w:val="xl50"/>
        <w:spacing w:before="0" w:beforeAutospacing="0" w:after="0" w:afterAutospacing="0"/>
        <w:rPr>
          <w:rFonts w:eastAsia="Times New Roman"/>
          <w:bCs w:val="0"/>
          <w:szCs w:val="20"/>
        </w:rPr>
      </w:pPr>
    </w:p>
    <w:p w:rsidR="00F23FFF" w:rsidRDefault="00F23FFF">
      <w:pPr>
        <w:pStyle w:val="xl50"/>
        <w:spacing w:before="0" w:beforeAutospacing="0" w:after="0" w:afterAutospacing="0"/>
        <w:rPr>
          <w:rFonts w:eastAsia="Times New Roman"/>
          <w:bCs w:val="0"/>
          <w:szCs w:val="20"/>
        </w:rPr>
      </w:pPr>
    </w:p>
    <w:p w:rsidR="00F23FFF" w:rsidRDefault="00F23FFF">
      <w:pPr>
        <w:pStyle w:val="xl50"/>
        <w:spacing w:before="0" w:beforeAutospacing="0" w:after="0" w:afterAutospacing="0"/>
        <w:rPr>
          <w:rFonts w:eastAsia="Times New Roman"/>
          <w:bCs w:val="0"/>
          <w:szCs w:val="20"/>
        </w:rPr>
      </w:pPr>
    </w:p>
    <w:tbl>
      <w:tblPr>
        <w:tblW w:w="8555" w:type="dxa"/>
        <w:tblInd w:w="93" w:type="dxa"/>
        <w:tblLook w:val="04A0" w:firstRow="1" w:lastRow="0" w:firstColumn="1" w:lastColumn="0" w:noHBand="0" w:noVBand="1"/>
      </w:tblPr>
      <w:tblGrid>
        <w:gridCol w:w="288"/>
        <w:gridCol w:w="1198"/>
        <w:gridCol w:w="372"/>
        <w:gridCol w:w="4883"/>
        <w:gridCol w:w="288"/>
        <w:gridCol w:w="1236"/>
        <w:gridCol w:w="290"/>
      </w:tblGrid>
      <w:tr w:rsidR="009A0FFE" w:rsidRPr="009A0FFE" w:rsidTr="009A0FFE">
        <w:trPr>
          <w:trHeight w:val="285"/>
        </w:trPr>
        <w:tc>
          <w:tcPr>
            <w:tcW w:w="288" w:type="dxa"/>
            <w:tcBorders>
              <w:top w:val="single" w:sz="4" w:space="0" w:color="auto"/>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single" w:sz="4" w:space="0" w:color="auto"/>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372" w:type="dxa"/>
            <w:tcBorders>
              <w:top w:val="single" w:sz="4" w:space="0" w:color="auto"/>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4883" w:type="dxa"/>
            <w:tcBorders>
              <w:top w:val="single" w:sz="4" w:space="0" w:color="auto"/>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288" w:type="dxa"/>
            <w:tcBorders>
              <w:top w:val="single" w:sz="4" w:space="0" w:color="auto"/>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236" w:type="dxa"/>
            <w:tcBorders>
              <w:top w:val="single" w:sz="4" w:space="0" w:color="auto"/>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290" w:type="dxa"/>
            <w:tcBorders>
              <w:top w:val="single" w:sz="4" w:space="0" w:color="auto"/>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300"/>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2012-13</w:t>
            </w:r>
          </w:p>
        </w:tc>
        <w:tc>
          <w:tcPr>
            <w:tcW w:w="372" w:type="dxa"/>
            <w:tcBorders>
              <w:top w:val="nil"/>
              <w:left w:val="nil"/>
              <w:bottom w:val="nil"/>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p>
        </w:tc>
        <w:tc>
          <w:tcPr>
            <w:tcW w:w="288" w:type="dxa"/>
            <w:tcBorders>
              <w:top w:val="nil"/>
              <w:left w:val="nil"/>
              <w:bottom w:val="nil"/>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2013-14</w:t>
            </w: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 </w:t>
            </w:r>
          </w:p>
        </w:tc>
      </w:tr>
      <w:tr w:rsidR="009A0FFE" w:rsidRPr="009A0FFE" w:rsidTr="009A0FFE">
        <w:trPr>
          <w:trHeight w:val="31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single" w:sz="8" w:space="0" w:color="auto"/>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w:t>
            </w:r>
          </w:p>
        </w:tc>
        <w:tc>
          <w:tcPr>
            <w:tcW w:w="372" w:type="dxa"/>
            <w:tcBorders>
              <w:top w:val="nil"/>
              <w:left w:val="nil"/>
              <w:bottom w:val="single" w:sz="8" w:space="0" w:color="auto"/>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 </w:t>
            </w:r>
          </w:p>
        </w:tc>
        <w:tc>
          <w:tcPr>
            <w:tcW w:w="4883" w:type="dxa"/>
            <w:tcBorders>
              <w:top w:val="nil"/>
              <w:left w:val="nil"/>
              <w:bottom w:val="single" w:sz="8" w:space="0" w:color="auto"/>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 </w:t>
            </w:r>
          </w:p>
        </w:tc>
        <w:tc>
          <w:tcPr>
            <w:tcW w:w="288" w:type="dxa"/>
            <w:tcBorders>
              <w:top w:val="nil"/>
              <w:left w:val="nil"/>
              <w:bottom w:val="single" w:sz="8" w:space="0" w:color="auto"/>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 </w:t>
            </w:r>
          </w:p>
        </w:tc>
        <w:tc>
          <w:tcPr>
            <w:tcW w:w="1236" w:type="dxa"/>
            <w:tcBorders>
              <w:top w:val="nil"/>
              <w:left w:val="nil"/>
              <w:bottom w:val="single" w:sz="8" w:space="0" w:color="auto"/>
              <w:right w:val="nil"/>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w:t>
            </w: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jc w:val="center"/>
              <w:rPr>
                <w:rFonts w:ascii="Arial" w:hAnsi="Arial" w:cs="Arial"/>
                <w:b/>
                <w:bCs/>
                <w:sz w:val="22"/>
                <w:szCs w:val="22"/>
                <w:lang w:eastAsia="en-GB"/>
              </w:rPr>
            </w:pPr>
            <w:r w:rsidRPr="009A0FFE">
              <w:rPr>
                <w:rFonts w:ascii="Arial" w:hAnsi="Arial" w:cs="Arial"/>
                <w:b/>
                <w:bCs/>
                <w:sz w:val="22"/>
                <w:szCs w:val="22"/>
                <w:lang w:eastAsia="en-GB"/>
              </w:rPr>
              <w:t> </w:t>
            </w:r>
          </w:p>
        </w:tc>
      </w:tr>
      <w:tr w:rsidR="009A0FFE" w:rsidRPr="009A0FFE" w:rsidTr="009A0FFE">
        <w:trPr>
          <w:trHeight w:val="28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28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jc w:val="right"/>
              <w:rPr>
                <w:rFonts w:ascii="Arial" w:hAnsi="Arial" w:cs="Arial"/>
                <w:sz w:val="22"/>
                <w:szCs w:val="22"/>
                <w:lang w:eastAsia="en-GB"/>
              </w:rPr>
            </w:pPr>
            <w:r w:rsidRPr="009A0FFE">
              <w:rPr>
                <w:rFonts w:ascii="Arial" w:hAnsi="Arial" w:cs="Arial"/>
                <w:sz w:val="22"/>
                <w:szCs w:val="22"/>
                <w:lang w:eastAsia="en-GB"/>
              </w:rPr>
              <w:t>(349,542)</w:t>
            </w: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(Increase) /decrease in cash</w:t>
            </w: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jc w:val="right"/>
              <w:rPr>
                <w:rFonts w:ascii="Arial" w:hAnsi="Arial" w:cs="Arial"/>
                <w:sz w:val="22"/>
                <w:szCs w:val="22"/>
                <w:lang w:eastAsia="en-GB"/>
              </w:rPr>
            </w:pPr>
            <w:r w:rsidRPr="009A0FFE">
              <w:rPr>
                <w:rFonts w:ascii="Arial" w:hAnsi="Arial" w:cs="Arial"/>
                <w:sz w:val="22"/>
                <w:szCs w:val="22"/>
                <w:lang w:eastAsia="en-GB"/>
              </w:rPr>
              <w:t>2,200,674</w:t>
            </w: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300"/>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28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single" w:sz="8" w:space="0" w:color="auto"/>
              <w:left w:val="nil"/>
              <w:bottom w:val="nil"/>
              <w:right w:val="nil"/>
            </w:tcBorders>
            <w:shd w:val="clear" w:color="auto" w:fill="auto"/>
            <w:noWrap/>
            <w:vAlign w:val="bottom"/>
            <w:hideMark/>
          </w:tcPr>
          <w:p w:rsidR="009A0FFE" w:rsidRPr="009A0FFE" w:rsidRDefault="009A0FFE" w:rsidP="009A0FFE">
            <w:pPr>
              <w:jc w:val="right"/>
              <w:rPr>
                <w:rFonts w:ascii="Arial" w:hAnsi="Arial" w:cs="Arial"/>
                <w:sz w:val="22"/>
                <w:szCs w:val="22"/>
                <w:lang w:eastAsia="en-GB"/>
              </w:rPr>
            </w:pPr>
            <w:r w:rsidRPr="009A0FFE">
              <w:rPr>
                <w:rFonts w:ascii="Arial" w:hAnsi="Arial" w:cs="Arial"/>
                <w:sz w:val="22"/>
                <w:szCs w:val="22"/>
                <w:lang w:eastAsia="en-GB"/>
              </w:rPr>
              <w:t>(349,542)</w:t>
            </w: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Increase in net debt from cash flow</w:t>
            </w: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single" w:sz="8" w:space="0" w:color="auto"/>
              <w:left w:val="nil"/>
              <w:bottom w:val="nil"/>
              <w:right w:val="nil"/>
            </w:tcBorders>
            <w:shd w:val="clear" w:color="auto" w:fill="auto"/>
            <w:noWrap/>
            <w:vAlign w:val="bottom"/>
            <w:hideMark/>
          </w:tcPr>
          <w:p w:rsidR="009A0FFE" w:rsidRPr="009A0FFE" w:rsidRDefault="009A0FFE" w:rsidP="009A0FFE">
            <w:pPr>
              <w:jc w:val="right"/>
              <w:rPr>
                <w:rFonts w:ascii="Arial" w:hAnsi="Arial" w:cs="Arial"/>
                <w:sz w:val="22"/>
                <w:szCs w:val="22"/>
                <w:lang w:eastAsia="en-GB"/>
              </w:rPr>
            </w:pPr>
            <w:r w:rsidRPr="009A0FFE">
              <w:rPr>
                <w:rFonts w:ascii="Arial" w:hAnsi="Arial" w:cs="Arial"/>
                <w:sz w:val="22"/>
                <w:szCs w:val="22"/>
                <w:lang w:eastAsia="en-GB"/>
              </w:rPr>
              <w:t>2,200,674</w:t>
            </w: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28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28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jc w:val="right"/>
              <w:rPr>
                <w:rFonts w:ascii="Arial" w:hAnsi="Arial" w:cs="Arial"/>
                <w:sz w:val="22"/>
                <w:szCs w:val="22"/>
                <w:lang w:eastAsia="en-GB"/>
              </w:rPr>
            </w:pPr>
            <w:r w:rsidRPr="009A0FFE">
              <w:rPr>
                <w:rFonts w:ascii="Arial" w:hAnsi="Arial" w:cs="Arial"/>
                <w:sz w:val="22"/>
                <w:szCs w:val="22"/>
                <w:lang w:eastAsia="en-GB"/>
              </w:rPr>
              <w:t>80,789</w:t>
            </w: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Net debt at 1 April</w:t>
            </w: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jc w:val="right"/>
              <w:rPr>
                <w:rFonts w:ascii="Arial" w:hAnsi="Arial" w:cs="Arial"/>
                <w:sz w:val="22"/>
                <w:szCs w:val="22"/>
                <w:lang w:eastAsia="en-GB"/>
              </w:rPr>
            </w:pPr>
            <w:r w:rsidRPr="009A0FFE">
              <w:rPr>
                <w:rFonts w:ascii="Arial" w:hAnsi="Arial" w:cs="Arial"/>
                <w:sz w:val="22"/>
                <w:szCs w:val="22"/>
                <w:lang w:eastAsia="en-GB"/>
              </w:rPr>
              <w:t>(268,753)</w:t>
            </w: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300"/>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372"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4883"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88"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1236" w:type="dxa"/>
            <w:tcBorders>
              <w:top w:val="nil"/>
              <w:left w:val="nil"/>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r w:rsidR="009A0FFE" w:rsidRPr="009A0FFE" w:rsidTr="009A0FFE">
        <w:trPr>
          <w:trHeight w:val="315"/>
        </w:trPr>
        <w:tc>
          <w:tcPr>
            <w:tcW w:w="288" w:type="dxa"/>
            <w:tcBorders>
              <w:top w:val="nil"/>
              <w:left w:val="single" w:sz="4" w:space="0" w:color="auto"/>
              <w:bottom w:val="nil"/>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single" w:sz="8" w:space="0" w:color="auto"/>
              <w:left w:val="nil"/>
              <w:bottom w:val="single" w:sz="8" w:space="0" w:color="auto"/>
              <w:right w:val="nil"/>
            </w:tcBorders>
            <w:shd w:val="clear" w:color="auto" w:fill="auto"/>
            <w:noWrap/>
            <w:vAlign w:val="bottom"/>
            <w:hideMark/>
          </w:tcPr>
          <w:p w:rsidR="009A0FFE" w:rsidRPr="009A0FFE" w:rsidRDefault="009A0FFE" w:rsidP="009A0FFE">
            <w:pPr>
              <w:jc w:val="right"/>
              <w:rPr>
                <w:rFonts w:ascii="Arial" w:hAnsi="Arial" w:cs="Arial"/>
                <w:b/>
                <w:bCs/>
                <w:sz w:val="22"/>
                <w:szCs w:val="22"/>
                <w:lang w:eastAsia="en-GB"/>
              </w:rPr>
            </w:pPr>
            <w:r w:rsidRPr="009A0FFE">
              <w:rPr>
                <w:rFonts w:ascii="Arial" w:hAnsi="Arial" w:cs="Arial"/>
                <w:b/>
                <w:bCs/>
                <w:sz w:val="22"/>
                <w:szCs w:val="22"/>
                <w:lang w:eastAsia="en-GB"/>
              </w:rPr>
              <w:t>(268,753)</w:t>
            </w:r>
          </w:p>
        </w:tc>
        <w:tc>
          <w:tcPr>
            <w:tcW w:w="372" w:type="dxa"/>
            <w:tcBorders>
              <w:top w:val="single" w:sz="8" w:space="0" w:color="auto"/>
              <w:left w:val="nil"/>
              <w:bottom w:val="single" w:sz="8" w:space="0" w:color="auto"/>
              <w:right w:val="nil"/>
            </w:tcBorders>
            <w:shd w:val="clear" w:color="auto" w:fill="auto"/>
            <w:noWrap/>
            <w:vAlign w:val="bottom"/>
            <w:hideMark/>
          </w:tcPr>
          <w:p w:rsidR="009A0FFE" w:rsidRPr="009A0FFE" w:rsidRDefault="009A0FFE" w:rsidP="009A0FFE">
            <w:pPr>
              <w:rPr>
                <w:rFonts w:ascii="Arial" w:hAnsi="Arial" w:cs="Arial"/>
                <w:b/>
                <w:bCs/>
                <w:sz w:val="22"/>
                <w:szCs w:val="22"/>
                <w:lang w:eastAsia="en-GB"/>
              </w:rPr>
            </w:pPr>
            <w:r w:rsidRPr="009A0FFE">
              <w:rPr>
                <w:rFonts w:ascii="Arial" w:hAnsi="Arial" w:cs="Arial"/>
                <w:b/>
                <w:bCs/>
                <w:sz w:val="22"/>
                <w:szCs w:val="22"/>
                <w:lang w:eastAsia="en-GB"/>
              </w:rPr>
              <w:t> </w:t>
            </w:r>
          </w:p>
        </w:tc>
        <w:tc>
          <w:tcPr>
            <w:tcW w:w="4883" w:type="dxa"/>
            <w:tcBorders>
              <w:top w:val="single" w:sz="8" w:space="0" w:color="auto"/>
              <w:left w:val="nil"/>
              <w:bottom w:val="single" w:sz="8" w:space="0" w:color="auto"/>
              <w:right w:val="nil"/>
            </w:tcBorders>
            <w:shd w:val="clear" w:color="auto" w:fill="auto"/>
            <w:noWrap/>
            <w:vAlign w:val="bottom"/>
            <w:hideMark/>
          </w:tcPr>
          <w:p w:rsidR="009A0FFE" w:rsidRPr="009A0FFE" w:rsidRDefault="009A0FFE" w:rsidP="009A0FFE">
            <w:pPr>
              <w:rPr>
                <w:rFonts w:ascii="Arial" w:hAnsi="Arial" w:cs="Arial"/>
                <w:b/>
                <w:bCs/>
                <w:sz w:val="22"/>
                <w:szCs w:val="22"/>
                <w:lang w:eastAsia="en-GB"/>
              </w:rPr>
            </w:pPr>
            <w:r w:rsidRPr="009A0FFE">
              <w:rPr>
                <w:rFonts w:ascii="Arial" w:hAnsi="Arial" w:cs="Arial"/>
                <w:b/>
                <w:bCs/>
                <w:sz w:val="22"/>
                <w:szCs w:val="22"/>
                <w:lang w:eastAsia="en-GB"/>
              </w:rPr>
              <w:t xml:space="preserve">Net debt at 31 March </w:t>
            </w:r>
          </w:p>
        </w:tc>
        <w:tc>
          <w:tcPr>
            <w:tcW w:w="288" w:type="dxa"/>
            <w:tcBorders>
              <w:top w:val="single" w:sz="8" w:space="0" w:color="auto"/>
              <w:left w:val="nil"/>
              <w:bottom w:val="single" w:sz="8" w:space="0" w:color="auto"/>
              <w:right w:val="nil"/>
            </w:tcBorders>
            <w:shd w:val="clear" w:color="auto" w:fill="auto"/>
            <w:noWrap/>
            <w:vAlign w:val="bottom"/>
            <w:hideMark/>
          </w:tcPr>
          <w:p w:rsidR="009A0FFE" w:rsidRPr="009A0FFE" w:rsidRDefault="009A0FFE" w:rsidP="009A0FFE">
            <w:pPr>
              <w:rPr>
                <w:rFonts w:ascii="Arial" w:hAnsi="Arial" w:cs="Arial"/>
                <w:b/>
                <w:bCs/>
                <w:sz w:val="22"/>
                <w:szCs w:val="22"/>
                <w:lang w:eastAsia="en-GB"/>
              </w:rPr>
            </w:pPr>
            <w:r w:rsidRPr="009A0FFE">
              <w:rPr>
                <w:rFonts w:ascii="Arial" w:hAnsi="Arial" w:cs="Arial"/>
                <w:b/>
                <w:bCs/>
                <w:sz w:val="22"/>
                <w:szCs w:val="22"/>
                <w:lang w:eastAsia="en-GB"/>
              </w:rPr>
              <w:t> </w:t>
            </w:r>
          </w:p>
        </w:tc>
        <w:tc>
          <w:tcPr>
            <w:tcW w:w="1236" w:type="dxa"/>
            <w:tcBorders>
              <w:top w:val="single" w:sz="8" w:space="0" w:color="auto"/>
              <w:left w:val="nil"/>
              <w:bottom w:val="single" w:sz="8" w:space="0" w:color="auto"/>
              <w:right w:val="nil"/>
            </w:tcBorders>
            <w:shd w:val="clear" w:color="auto" w:fill="auto"/>
            <w:noWrap/>
            <w:vAlign w:val="bottom"/>
            <w:hideMark/>
          </w:tcPr>
          <w:p w:rsidR="009A0FFE" w:rsidRPr="009A0FFE" w:rsidRDefault="009A0FFE" w:rsidP="009A0FFE">
            <w:pPr>
              <w:jc w:val="right"/>
              <w:rPr>
                <w:rFonts w:ascii="Arial" w:hAnsi="Arial" w:cs="Arial"/>
                <w:b/>
                <w:bCs/>
                <w:sz w:val="22"/>
                <w:szCs w:val="22"/>
                <w:lang w:eastAsia="en-GB"/>
              </w:rPr>
            </w:pPr>
            <w:r w:rsidRPr="009A0FFE">
              <w:rPr>
                <w:rFonts w:ascii="Arial" w:hAnsi="Arial" w:cs="Arial"/>
                <w:b/>
                <w:bCs/>
                <w:sz w:val="22"/>
                <w:szCs w:val="22"/>
                <w:lang w:eastAsia="en-GB"/>
              </w:rPr>
              <w:t>1,931,921</w:t>
            </w:r>
          </w:p>
        </w:tc>
        <w:tc>
          <w:tcPr>
            <w:tcW w:w="290" w:type="dxa"/>
            <w:tcBorders>
              <w:top w:val="nil"/>
              <w:left w:val="nil"/>
              <w:bottom w:val="nil"/>
              <w:right w:val="single" w:sz="4" w:space="0" w:color="auto"/>
            </w:tcBorders>
            <w:shd w:val="clear" w:color="auto" w:fill="auto"/>
            <w:noWrap/>
            <w:vAlign w:val="bottom"/>
            <w:hideMark/>
          </w:tcPr>
          <w:p w:rsidR="009A0FFE" w:rsidRPr="009A0FFE" w:rsidRDefault="009A0FFE" w:rsidP="009A0FFE">
            <w:pPr>
              <w:rPr>
                <w:rFonts w:ascii="Arial" w:hAnsi="Arial" w:cs="Arial"/>
                <w:b/>
                <w:bCs/>
                <w:sz w:val="22"/>
                <w:szCs w:val="22"/>
                <w:lang w:eastAsia="en-GB"/>
              </w:rPr>
            </w:pPr>
            <w:r w:rsidRPr="009A0FFE">
              <w:rPr>
                <w:rFonts w:ascii="Arial" w:hAnsi="Arial" w:cs="Arial"/>
                <w:b/>
                <w:bCs/>
                <w:sz w:val="22"/>
                <w:szCs w:val="22"/>
                <w:lang w:eastAsia="en-GB"/>
              </w:rPr>
              <w:t> </w:t>
            </w:r>
          </w:p>
        </w:tc>
      </w:tr>
      <w:tr w:rsidR="009A0FFE" w:rsidRPr="009A0FFE" w:rsidTr="009A0FFE">
        <w:trPr>
          <w:trHeight w:val="285"/>
        </w:trPr>
        <w:tc>
          <w:tcPr>
            <w:tcW w:w="288" w:type="dxa"/>
            <w:tcBorders>
              <w:top w:val="nil"/>
              <w:left w:val="single" w:sz="4" w:space="0" w:color="auto"/>
              <w:bottom w:val="single" w:sz="4" w:space="0" w:color="auto"/>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198" w:type="dxa"/>
            <w:tcBorders>
              <w:top w:val="nil"/>
              <w:left w:val="nil"/>
              <w:bottom w:val="single" w:sz="4" w:space="0" w:color="auto"/>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372" w:type="dxa"/>
            <w:tcBorders>
              <w:top w:val="nil"/>
              <w:left w:val="nil"/>
              <w:bottom w:val="single" w:sz="4" w:space="0" w:color="auto"/>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4883" w:type="dxa"/>
            <w:tcBorders>
              <w:top w:val="nil"/>
              <w:left w:val="nil"/>
              <w:bottom w:val="single" w:sz="4" w:space="0" w:color="auto"/>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288" w:type="dxa"/>
            <w:tcBorders>
              <w:top w:val="nil"/>
              <w:left w:val="nil"/>
              <w:bottom w:val="single" w:sz="4" w:space="0" w:color="auto"/>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1236" w:type="dxa"/>
            <w:tcBorders>
              <w:top w:val="nil"/>
              <w:left w:val="nil"/>
              <w:bottom w:val="single" w:sz="4" w:space="0" w:color="auto"/>
              <w:right w:val="nil"/>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c>
          <w:tcPr>
            <w:tcW w:w="290" w:type="dxa"/>
            <w:tcBorders>
              <w:top w:val="nil"/>
              <w:left w:val="nil"/>
              <w:bottom w:val="single" w:sz="4" w:space="0" w:color="auto"/>
              <w:right w:val="single" w:sz="4" w:space="0" w:color="auto"/>
            </w:tcBorders>
            <w:shd w:val="clear" w:color="auto" w:fill="auto"/>
            <w:noWrap/>
            <w:vAlign w:val="bottom"/>
            <w:hideMark/>
          </w:tcPr>
          <w:p w:rsidR="009A0FFE" w:rsidRPr="009A0FFE" w:rsidRDefault="009A0FFE" w:rsidP="009A0FFE">
            <w:pPr>
              <w:rPr>
                <w:rFonts w:ascii="Arial" w:hAnsi="Arial" w:cs="Arial"/>
                <w:sz w:val="22"/>
                <w:szCs w:val="22"/>
                <w:lang w:eastAsia="en-GB"/>
              </w:rPr>
            </w:pPr>
            <w:r w:rsidRPr="009A0FFE">
              <w:rPr>
                <w:rFonts w:ascii="Arial" w:hAnsi="Arial" w:cs="Arial"/>
                <w:sz w:val="22"/>
                <w:szCs w:val="22"/>
                <w:lang w:eastAsia="en-GB"/>
              </w:rPr>
              <w:t> </w:t>
            </w:r>
          </w:p>
        </w:tc>
      </w:tr>
    </w:tbl>
    <w:p w:rsidR="00F23FFF" w:rsidRDefault="00F23FFF">
      <w:pPr>
        <w:pStyle w:val="xl50"/>
        <w:spacing w:before="0" w:beforeAutospacing="0" w:after="0" w:afterAutospacing="0"/>
        <w:rPr>
          <w:rFonts w:eastAsia="Times New Roman"/>
          <w:b w:val="0"/>
          <w:color w:val="auto"/>
          <w:sz w:val="22"/>
          <w:szCs w:val="20"/>
        </w:rPr>
      </w:pPr>
    </w:p>
    <w:p w:rsidR="00F23FFF" w:rsidRDefault="00F23FFF">
      <w:pPr>
        <w:pStyle w:val="xl50"/>
        <w:spacing w:before="0" w:beforeAutospacing="0" w:after="0" w:afterAutospacing="0"/>
        <w:rPr>
          <w:rFonts w:eastAsia="Times New Roman"/>
          <w:b w:val="0"/>
          <w:color w:val="auto"/>
          <w:sz w:val="22"/>
          <w:szCs w:val="20"/>
        </w:rPr>
      </w:pPr>
    </w:p>
    <w:p w:rsidR="00F23FFF" w:rsidRDefault="00F23FFF">
      <w:pPr>
        <w:pStyle w:val="xl50"/>
        <w:spacing w:before="0" w:beforeAutospacing="0" w:after="0" w:afterAutospacing="0"/>
        <w:rPr>
          <w:rFonts w:eastAsia="Times New Roman"/>
          <w:b w:val="0"/>
          <w:color w:val="auto"/>
          <w:sz w:val="22"/>
          <w:szCs w:val="20"/>
        </w:rPr>
      </w:pPr>
    </w:p>
    <w:p w:rsidR="00F23FFF" w:rsidRDefault="00F23FFF">
      <w:pPr>
        <w:pStyle w:val="xl50"/>
        <w:spacing w:before="0" w:beforeAutospacing="0" w:after="0" w:afterAutospacing="0"/>
        <w:rPr>
          <w:rFonts w:eastAsia="Times New Roman"/>
          <w:b w:val="0"/>
          <w:color w:val="auto"/>
          <w:sz w:val="22"/>
          <w:szCs w:val="20"/>
        </w:rPr>
      </w:pPr>
    </w:p>
    <w:p w:rsidR="00F23FFF" w:rsidRDefault="00F23FFF">
      <w:pPr>
        <w:pStyle w:val="xl50"/>
        <w:spacing w:before="0" w:beforeAutospacing="0" w:after="0" w:afterAutospacing="0"/>
        <w:rPr>
          <w:rFonts w:eastAsia="Times New Roman"/>
          <w:bCs w:val="0"/>
          <w:szCs w:val="20"/>
        </w:rPr>
        <w:sectPr w:rsidR="00F23FFF" w:rsidSect="00762BB3">
          <w:pgSz w:w="11907" w:h="16840" w:code="9"/>
          <w:pgMar w:top="1440" w:right="1531" w:bottom="1440" w:left="1701" w:header="720" w:footer="720" w:gutter="0"/>
          <w:cols w:space="720"/>
        </w:sectPr>
      </w:pPr>
    </w:p>
    <w:p w:rsidR="00DA1EE3" w:rsidRDefault="003552BC">
      <w:pPr>
        <w:pStyle w:val="xl50"/>
        <w:spacing w:before="0" w:beforeAutospacing="0" w:after="0" w:afterAutospacing="0"/>
        <w:rPr>
          <w:rFonts w:eastAsia="Times New Roman"/>
          <w:bCs w:val="0"/>
          <w:szCs w:val="20"/>
        </w:rPr>
      </w:pPr>
      <w:r>
        <w:rPr>
          <w:rFonts w:eastAsia="Times New Roman"/>
          <w:bCs w:val="0"/>
          <w:szCs w:val="20"/>
        </w:rPr>
        <w:lastRenderedPageBreak/>
        <w:t>1</w:t>
      </w:r>
      <w:r w:rsidR="00672827">
        <w:rPr>
          <w:rFonts w:eastAsia="Times New Roman"/>
          <w:bCs w:val="0"/>
          <w:szCs w:val="20"/>
        </w:rPr>
        <w:t>7</w:t>
      </w:r>
      <w:r>
        <w:rPr>
          <w:rFonts w:eastAsia="Times New Roman"/>
          <w:bCs w:val="0"/>
          <w:szCs w:val="20"/>
        </w:rPr>
        <w:t xml:space="preserve">     Amounts Reported for Resou</w:t>
      </w:r>
      <w:r w:rsidR="00B76C81">
        <w:rPr>
          <w:rFonts w:eastAsia="Times New Roman"/>
          <w:bCs w:val="0"/>
          <w:szCs w:val="20"/>
        </w:rPr>
        <w:t xml:space="preserve">rce Allocation </w:t>
      </w:r>
      <w:r w:rsidR="009C33EF">
        <w:rPr>
          <w:rFonts w:eastAsia="Times New Roman"/>
          <w:bCs w:val="0"/>
          <w:szCs w:val="20"/>
        </w:rPr>
        <w:t>2013-14</w:t>
      </w:r>
    </w:p>
    <w:p w:rsidR="00F23FFF" w:rsidRDefault="00F23FFF" w:rsidP="00CB1A4C">
      <w:pPr>
        <w:pStyle w:val="xl50"/>
        <w:spacing w:before="0" w:beforeAutospacing="0" w:after="0" w:afterAutospacing="0"/>
        <w:ind w:left="-284"/>
        <w:rPr>
          <w:rFonts w:eastAsia="Times New Roman"/>
          <w:bCs w:val="0"/>
          <w:szCs w:val="20"/>
        </w:rPr>
      </w:pPr>
    </w:p>
    <w:p w:rsidR="00CB1A4C" w:rsidRDefault="00C943EF" w:rsidP="00426105">
      <w:pPr>
        <w:pStyle w:val="xl50"/>
        <w:spacing w:before="0" w:beforeAutospacing="0" w:after="0" w:afterAutospacing="0"/>
        <w:ind w:left="-284"/>
        <w:jc w:val="center"/>
        <w:rPr>
          <w:rFonts w:eastAsia="Times New Roman"/>
          <w:bCs w:val="0"/>
          <w:szCs w:val="20"/>
        </w:rPr>
        <w:sectPr w:rsidR="00CB1A4C" w:rsidSect="005975E6">
          <w:pgSz w:w="16840" w:h="11907" w:orient="landscape" w:code="9"/>
          <w:pgMar w:top="851" w:right="964" w:bottom="1135" w:left="1134" w:header="720" w:footer="720" w:gutter="0"/>
          <w:cols w:space="720"/>
        </w:sectPr>
      </w:pPr>
      <w:r w:rsidRPr="00C943EF">
        <w:rPr>
          <w:noProof/>
          <w:lang w:eastAsia="en-GB"/>
        </w:rPr>
        <w:drawing>
          <wp:inline distT="0" distB="0" distL="0" distR="0" wp14:anchorId="56C85FF9" wp14:editId="6016AA4C">
            <wp:extent cx="9753600" cy="5857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1614" cy="5856682"/>
                    </a:xfrm>
                    <a:prstGeom prst="rect">
                      <a:avLst/>
                    </a:prstGeom>
                    <a:noFill/>
                    <a:ln>
                      <a:noFill/>
                    </a:ln>
                  </pic:spPr>
                </pic:pic>
              </a:graphicData>
            </a:graphic>
          </wp:inline>
        </w:drawing>
      </w:r>
    </w:p>
    <w:p w:rsidR="00F23FFF" w:rsidRDefault="003552BC">
      <w:pPr>
        <w:pStyle w:val="xl50"/>
        <w:spacing w:before="0" w:beforeAutospacing="0" w:after="0" w:afterAutospacing="0"/>
        <w:rPr>
          <w:rFonts w:eastAsia="Times New Roman"/>
          <w:bCs w:val="0"/>
          <w:szCs w:val="20"/>
        </w:rPr>
      </w:pPr>
      <w:r>
        <w:rPr>
          <w:rFonts w:eastAsia="Times New Roman"/>
          <w:bCs w:val="0"/>
          <w:szCs w:val="20"/>
        </w:rPr>
        <w:lastRenderedPageBreak/>
        <w:t>Amounts Reported for Resou</w:t>
      </w:r>
      <w:r w:rsidR="00591890">
        <w:rPr>
          <w:rFonts w:eastAsia="Times New Roman"/>
          <w:bCs w:val="0"/>
          <w:szCs w:val="20"/>
        </w:rPr>
        <w:t>rce Allocation 2012-13</w:t>
      </w:r>
    </w:p>
    <w:p w:rsidR="00F23FFF" w:rsidRDefault="00F23FFF">
      <w:pPr>
        <w:rPr>
          <w:rFonts w:ascii="Arial" w:hAnsi="Arial" w:cs="Arial"/>
          <w:b/>
          <w:color w:val="000080"/>
          <w:sz w:val="24"/>
        </w:rPr>
      </w:pPr>
    </w:p>
    <w:p w:rsidR="00F23FFF" w:rsidRDefault="00241E81" w:rsidP="009C33EF">
      <w:pPr>
        <w:ind w:right="-619"/>
        <w:jc w:val="center"/>
        <w:rPr>
          <w:rFonts w:ascii="Arial" w:hAnsi="Arial" w:cs="Arial"/>
          <w:b/>
          <w:color w:val="000080"/>
        </w:rPr>
        <w:sectPr w:rsidR="00F23FFF" w:rsidSect="00E84B2E">
          <w:pgSz w:w="16840" w:h="11907" w:orient="landscape" w:code="9"/>
          <w:pgMar w:top="1134" w:right="1440" w:bottom="1134" w:left="993" w:header="720" w:footer="720" w:gutter="0"/>
          <w:cols w:space="720"/>
        </w:sectPr>
      </w:pPr>
      <w:r w:rsidRPr="00241E81">
        <w:rPr>
          <w:noProof/>
          <w:lang w:eastAsia="en-GB"/>
        </w:rPr>
        <w:drawing>
          <wp:inline distT="0" distB="0" distL="0" distR="0" wp14:anchorId="38CAA602" wp14:editId="514F6880">
            <wp:extent cx="9715500" cy="5743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20221" cy="5746366"/>
                    </a:xfrm>
                    <a:prstGeom prst="rect">
                      <a:avLst/>
                    </a:prstGeom>
                    <a:noFill/>
                    <a:ln>
                      <a:noFill/>
                    </a:ln>
                  </pic:spPr>
                </pic:pic>
              </a:graphicData>
            </a:graphic>
          </wp:inline>
        </w:drawing>
      </w:r>
    </w:p>
    <w:p w:rsidR="00F23FFF" w:rsidRDefault="00F23FFF">
      <w:pPr>
        <w:rPr>
          <w:rFonts w:ascii="Arial" w:hAnsi="Arial" w:cs="Arial"/>
          <w:bCs/>
          <w:sz w:val="22"/>
        </w:rPr>
      </w:pPr>
    </w:p>
    <w:p w:rsidR="00F23FFF" w:rsidRDefault="00F23FFF">
      <w:pPr>
        <w:pStyle w:val="xl50"/>
        <w:tabs>
          <w:tab w:val="left" w:pos="567"/>
        </w:tabs>
        <w:spacing w:before="0" w:beforeAutospacing="0" w:after="0" w:afterAutospacing="0"/>
        <w:rPr>
          <w:rFonts w:eastAsia="Times New Roman"/>
          <w:bCs w:val="0"/>
          <w:szCs w:val="20"/>
        </w:rPr>
      </w:pPr>
    </w:p>
    <w:p w:rsidR="00F23FFF" w:rsidRDefault="00F23FFF">
      <w:pPr>
        <w:pStyle w:val="xl50"/>
        <w:tabs>
          <w:tab w:val="left" w:pos="567"/>
        </w:tabs>
        <w:spacing w:before="0" w:beforeAutospacing="0" w:after="0" w:afterAutospacing="0"/>
        <w:rPr>
          <w:rFonts w:eastAsia="Times New Roman"/>
          <w:bCs w:val="0"/>
          <w:szCs w:val="20"/>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t>1</w:t>
      </w:r>
      <w:r w:rsidR="00672827">
        <w:rPr>
          <w:rFonts w:eastAsia="Times New Roman"/>
          <w:bCs w:val="0"/>
          <w:szCs w:val="20"/>
        </w:rPr>
        <w:t>8</w:t>
      </w:r>
      <w:r>
        <w:rPr>
          <w:rFonts w:eastAsia="Times New Roman"/>
          <w:bCs w:val="0"/>
          <w:szCs w:val="20"/>
        </w:rPr>
        <w:t xml:space="preserve">    Acquired and Discontinued Operations</w:t>
      </w:r>
    </w:p>
    <w:p w:rsidR="00F23FFF" w:rsidRDefault="00F23FFF">
      <w:pPr>
        <w:rPr>
          <w:rFonts w:ascii="Arial" w:hAnsi="Arial" w:cs="Arial"/>
          <w:bCs/>
          <w:sz w:val="22"/>
        </w:rPr>
      </w:pPr>
    </w:p>
    <w:p w:rsidR="00F23FFF" w:rsidRDefault="003552BC">
      <w:pPr>
        <w:ind w:left="567"/>
        <w:rPr>
          <w:rFonts w:ascii="Arial" w:hAnsi="Arial" w:cs="Arial"/>
          <w:sz w:val="22"/>
        </w:rPr>
      </w:pPr>
      <w:r>
        <w:rPr>
          <w:rFonts w:ascii="Arial" w:hAnsi="Arial" w:cs="Arial"/>
          <w:sz w:val="22"/>
        </w:rPr>
        <w:t>There are no transactions to report under these headings in 201</w:t>
      </w:r>
      <w:r w:rsidR="00216495">
        <w:rPr>
          <w:rFonts w:ascii="Arial" w:hAnsi="Arial" w:cs="Arial"/>
          <w:sz w:val="22"/>
        </w:rPr>
        <w:t>3</w:t>
      </w:r>
      <w:r w:rsidR="00D722C1">
        <w:rPr>
          <w:rFonts w:ascii="Arial" w:hAnsi="Arial" w:cs="Arial"/>
          <w:sz w:val="22"/>
        </w:rPr>
        <w:t>-</w:t>
      </w:r>
      <w:r>
        <w:rPr>
          <w:rFonts w:ascii="Arial" w:hAnsi="Arial" w:cs="Arial"/>
          <w:sz w:val="22"/>
        </w:rPr>
        <w:t>1</w:t>
      </w:r>
      <w:r w:rsidR="00216495">
        <w:rPr>
          <w:rFonts w:ascii="Arial" w:hAnsi="Arial" w:cs="Arial"/>
          <w:sz w:val="22"/>
        </w:rPr>
        <w:t>4</w:t>
      </w:r>
      <w:r>
        <w:rPr>
          <w:rFonts w:ascii="Arial" w:hAnsi="Arial" w:cs="Arial"/>
          <w:sz w:val="22"/>
        </w:rPr>
        <w:t xml:space="preserve"> or in 20</w:t>
      </w:r>
      <w:r w:rsidR="006C6121">
        <w:rPr>
          <w:rFonts w:ascii="Arial" w:hAnsi="Arial" w:cs="Arial"/>
          <w:sz w:val="22"/>
        </w:rPr>
        <w:t>12</w:t>
      </w:r>
      <w:r w:rsidR="00D722C1">
        <w:rPr>
          <w:rFonts w:ascii="Arial" w:hAnsi="Arial" w:cs="Arial"/>
          <w:sz w:val="22"/>
        </w:rPr>
        <w:t>-</w:t>
      </w:r>
      <w:r>
        <w:rPr>
          <w:rFonts w:ascii="Arial" w:hAnsi="Arial" w:cs="Arial"/>
          <w:sz w:val="22"/>
        </w:rPr>
        <w:t>1</w:t>
      </w:r>
      <w:r w:rsidR="006C6121">
        <w:rPr>
          <w:rFonts w:ascii="Arial" w:hAnsi="Arial" w:cs="Arial"/>
          <w:sz w:val="22"/>
        </w:rPr>
        <w:t>3</w:t>
      </w:r>
      <w:r>
        <w:rPr>
          <w:rFonts w:ascii="Arial" w:hAnsi="Arial" w:cs="Arial"/>
          <w:sz w:val="22"/>
        </w:rPr>
        <w:t>.</w:t>
      </w:r>
    </w:p>
    <w:p w:rsidR="00F23FFF" w:rsidRPr="00216495" w:rsidRDefault="00F23FFF">
      <w:pPr>
        <w:rPr>
          <w:rFonts w:ascii="Arial" w:hAnsi="Arial" w:cs="Arial"/>
          <w:bCs/>
          <w:sz w:val="22"/>
        </w:rPr>
      </w:pPr>
    </w:p>
    <w:p w:rsidR="00F23FFF" w:rsidRPr="00216495" w:rsidRDefault="00F23FFF">
      <w:pPr>
        <w:rPr>
          <w:rFonts w:ascii="Arial" w:hAnsi="Arial" w:cs="Arial"/>
          <w:bCs/>
          <w:sz w:val="22"/>
        </w:rPr>
      </w:pPr>
    </w:p>
    <w:p w:rsidR="0010526C" w:rsidRPr="00216495" w:rsidRDefault="0010526C">
      <w:pPr>
        <w:rPr>
          <w:rFonts w:ascii="Arial" w:hAnsi="Arial" w:cs="Arial"/>
          <w:bCs/>
          <w:sz w:val="22"/>
        </w:rPr>
      </w:pPr>
    </w:p>
    <w:p w:rsidR="0010526C" w:rsidRPr="00216495" w:rsidRDefault="0010526C">
      <w:pPr>
        <w:rPr>
          <w:rFonts w:ascii="Arial" w:hAnsi="Arial" w:cs="Arial"/>
          <w:bCs/>
          <w:sz w:val="22"/>
        </w:rPr>
      </w:pPr>
    </w:p>
    <w:p w:rsidR="00F23FFF" w:rsidRPr="00216495" w:rsidRDefault="00F23FFF">
      <w:pPr>
        <w:rPr>
          <w:rFonts w:ascii="Arial" w:hAnsi="Arial" w:cs="Arial"/>
          <w:bCs/>
          <w:sz w:val="22"/>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t>1</w:t>
      </w:r>
      <w:r w:rsidR="00672827">
        <w:rPr>
          <w:rFonts w:eastAsia="Times New Roman"/>
          <w:bCs w:val="0"/>
          <w:szCs w:val="20"/>
        </w:rPr>
        <w:t>9</w:t>
      </w:r>
      <w:r>
        <w:rPr>
          <w:rFonts w:eastAsia="Times New Roman"/>
          <w:bCs w:val="0"/>
          <w:szCs w:val="20"/>
        </w:rPr>
        <w:t xml:space="preserve">     Trading Operations</w:t>
      </w:r>
    </w:p>
    <w:p w:rsidR="00F23FFF" w:rsidRDefault="00F23FFF">
      <w:pPr>
        <w:rPr>
          <w:rFonts w:ascii="Arial" w:hAnsi="Arial" w:cs="Arial"/>
          <w:bCs/>
          <w:sz w:val="22"/>
        </w:rPr>
      </w:pPr>
    </w:p>
    <w:p w:rsidR="00F23FFF" w:rsidRDefault="00F23FFF">
      <w:pPr>
        <w:rPr>
          <w:rFonts w:ascii="Arial" w:hAnsi="Arial" w:cs="Arial"/>
          <w:bCs/>
          <w:sz w:val="22"/>
        </w:rPr>
      </w:pPr>
    </w:p>
    <w:tbl>
      <w:tblPr>
        <w:tblW w:w="8681" w:type="dxa"/>
        <w:tblInd w:w="93" w:type="dxa"/>
        <w:tblLook w:val="04A0" w:firstRow="1" w:lastRow="0" w:firstColumn="1" w:lastColumn="0" w:noHBand="0" w:noVBand="1"/>
      </w:tblPr>
      <w:tblGrid>
        <w:gridCol w:w="287"/>
        <w:gridCol w:w="1096"/>
        <w:gridCol w:w="290"/>
        <w:gridCol w:w="5625"/>
        <w:gridCol w:w="1096"/>
        <w:gridCol w:w="287"/>
      </w:tblGrid>
      <w:tr w:rsidR="0069044C" w:rsidRPr="0069044C" w:rsidTr="0069044C">
        <w:trPr>
          <w:trHeight w:val="107"/>
        </w:trPr>
        <w:tc>
          <w:tcPr>
            <w:tcW w:w="287" w:type="dxa"/>
            <w:tcBorders>
              <w:top w:val="single" w:sz="4" w:space="0" w:color="auto"/>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single" w:sz="4" w:space="0" w:color="auto"/>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290" w:type="dxa"/>
            <w:tcBorders>
              <w:top w:val="single" w:sz="4" w:space="0" w:color="auto"/>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5625" w:type="dxa"/>
            <w:tcBorders>
              <w:top w:val="single" w:sz="4" w:space="0" w:color="auto"/>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single" w:sz="4" w:space="0" w:color="auto"/>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287" w:type="dxa"/>
            <w:tcBorders>
              <w:top w:val="single" w:sz="4" w:space="0" w:color="auto"/>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305"/>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jc w:val="center"/>
              <w:rPr>
                <w:rFonts w:ascii="Arial" w:hAnsi="Arial" w:cs="Arial"/>
                <w:b/>
                <w:bCs/>
                <w:sz w:val="22"/>
                <w:szCs w:val="22"/>
                <w:lang w:eastAsia="en-GB"/>
              </w:rPr>
            </w:pPr>
            <w:r w:rsidRPr="0069044C">
              <w:rPr>
                <w:rFonts w:ascii="Arial" w:hAnsi="Arial" w:cs="Arial"/>
                <w:b/>
                <w:bCs/>
                <w:sz w:val="22"/>
                <w:szCs w:val="22"/>
                <w:lang w:eastAsia="en-GB"/>
              </w:rPr>
              <w:t>2012-13</w:t>
            </w:r>
          </w:p>
        </w:tc>
        <w:tc>
          <w:tcPr>
            <w:tcW w:w="290"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5625"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1096" w:type="dxa"/>
            <w:tcBorders>
              <w:top w:val="nil"/>
              <w:left w:val="nil"/>
              <w:bottom w:val="nil"/>
              <w:right w:val="nil"/>
            </w:tcBorders>
            <w:shd w:val="clear" w:color="auto" w:fill="auto"/>
            <w:noWrap/>
            <w:vAlign w:val="bottom"/>
            <w:hideMark/>
          </w:tcPr>
          <w:p w:rsidR="0069044C" w:rsidRPr="0069044C" w:rsidRDefault="0069044C" w:rsidP="0069044C">
            <w:pPr>
              <w:jc w:val="center"/>
              <w:rPr>
                <w:rFonts w:ascii="Arial" w:hAnsi="Arial" w:cs="Arial"/>
                <w:b/>
                <w:bCs/>
                <w:sz w:val="22"/>
                <w:szCs w:val="22"/>
                <w:lang w:eastAsia="en-GB"/>
              </w:rPr>
            </w:pPr>
            <w:r w:rsidRPr="0069044C">
              <w:rPr>
                <w:rFonts w:ascii="Arial" w:hAnsi="Arial" w:cs="Arial"/>
                <w:b/>
                <w:bCs/>
                <w:sz w:val="22"/>
                <w:szCs w:val="22"/>
                <w:lang w:eastAsia="en-GB"/>
              </w:rPr>
              <w:t>2013-14</w:t>
            </w: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320"/>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single" w:sz="8" w:space="0" w:color="auto"/>
              <w:right w:val="nil"/>
            </w:tcBorders>
            <w:shd w:val="clear" w:color="auto" w:fill="auto"/>
            <w:noWrap/>
            <w:vAlign w:val="bottom"/>
            <w:hideMark/>
          </w:tcPr>
          <w:p w:rsidR="0069044C" w:rsidRPr="0069044C" w:rsidRDefault="0069044C" w:rsidP="0069044C">
            <w:pPr>
              <w:jc w:val="center"/>
              <w:rPr>
                <w:rFonts w:ascii="Arial" w:hAnsi="Arial" w:cs="Arial"/>
                <w:b/>
                <w:bCs/>
                <w:sz w:val="22"/>
                <w:szCs w:val="22"/>
                <w:lang w:eastAsia="en-GB"/>
              </w:rPr>
            </w:pPr>
            <w:r w:rsidRPr="0069044C">
              <w:rPr>
                <w:rFonts w:ascii="Arial" w:hAnsi="Arial" w:cs="Arial"/>
                <w:b/>
                <w:bCs/>
                <w:sz w:val="22"/>
                <w:szCs w:val="22"/>
                <w:lang w:eastAsia="en-GB"/>
              </w:rPr>
              <w:t>£</w:t>
            </w:r>
          </w:p>
        </w:tc>
        <w:tc>
          <w:tcPr>
            <w:tcW w:w="290" w:type="dxa"/>
            <w:tcBorders>
              <w:top w:val="nil"/>
              <w:left w:val="nil"/>
              <w:bottom w:val="single" w:sz="8" w:space="0" w:color="auto"/>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5625" w:type="dxa"/>
            <w:tcBorders>
              <w:top w:val="nil"/>
              <w:left w:val="nil"/>
              <w:bottom w:val="single" w:sz="8" w:space="0" w:color="auto"/>
              <w:right w:val="nil"/>
            </w:tcBorders>
            <w:shd w:val="clear" w:color="auto" w:fill="auto"/>
            <w:noWrap/>
            <w:vAlign w:val="bottom"/>
            <w:hideMark/>
          </w:tcPr>
          <w:p w:rsidR="0069044C" w:rsidRPr="0069044C" w:rsidRDefault="0069044C" w:rsidP="0069044C">
            <w:pPr>
              <w:rPr>
                <w:rFonts w:ascii="Arial" w:hAnsi="Arial" w:cs="Arial"/>
                <w:b/>
                <w:bCs/>
                <w:sz w:val="22"/>
                <w:szCs w:val="22"/>
                <w:lang w:eastAsia="en-GB"/>
              </w:rPr>
            </w:pPr>
            <w:r w:rsidRPr="0069044C">
              <w:rPr>
                <w:rFonts w:ascii="Arial" w:hAnsi="Arial" w:cs="Arial"/>
                <w:b/>
                <w:bCs/>
                <w:sz w:val="22"/>
                <w:szCs w:val="22"/>
                <w:lang w:eastAsia="en-GB"/>
              </w:rPr>
              <w:t>Direct Labour Organisation</w:t>
            </w:r>
          </w:p>
        </w:tc>
        <w:tc>
          <w:tcPr>
            <w:tcW w:w="1096" w:type="dxa"/>
            <w:tcBorders>
              <w:top w:val="nil"/>
              <w:left w:val="nil"/>
              <w:bottom w:val="single" w:sz="8" w:space="0" w:color="auto"/>
              <w:right w:val="nil"/>
            </w:tcBorders>
            <w:shd w:val="clear" w:color="auto" w:fill="auto"/>
            <w:noWrap/>
            <w:vAlign w:val="bottom"/>
            <w:hideMark/>
          </w:tcPr>
          <w:p w:rsidR="0069044C" w:rsidRPr="0069044C" w:rsidRDefault="0069044C" w:rsidP="0069044C">
            <w:pPr>
              <w:jc w:val="center"/>
              <w:rPr>
                <w:rFonts w:ascii="Arial" w:hAnsi="Arial" w:cs="Arial"/>
                <w:b/>
                <w:bCs/>
                <w:sz w:val="22"/>
                <w:szCs w:val="22"/>
                <w:lang w:eastAsia="en-GB"/>
              </w:rPr>
            </w:pPr>
            <w:r w:rsidRPr="0069044C">
              <w:rPr>
                <w:rFonts w:ascii="Arial" w:hAnsi="Arial" w:cs="Arial"/>
                <w:b/>
                <w:bCs/>
                <w:sz w:val="22"/>
                <w:szCs w:val="22"/>
                <w:lang w:eastAsia="en-GB"/>
              </w:rPr>
              <w:t>£</w:t>
            </w: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289"/>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290"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5625"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Building Maintenance</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289"/>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jc w:val="right"/>
              <w:rPr>
                <w:rFonts w:ascii="Arial" w:hAnsi="Arial" w:cs="Arial"/>
                <w:sz w:val="22"/>
                <w:szCs w:val="22"/>
                <w:lang w:eastAsia="en-GB"/>
              </w:rPr>
            </w:pPr>
            <w:r w:rsidRPr="0069044C">
              <w:rPr>
                <w:rFonts w:ascii="Arial" w:hAnsi="Arial" w:cs="Arial"/>
                <w:sz w:val="22"/>
                <w:szCs w:val="22"/>
                <w:lang w:eastAsia="en-GB"/>
              </w:rPr>
              <w:t>6,908</w:t>
            </w:r>
          </w:p>
        </w:tc>
        <w:tc>
          <w:tcPr>
            <w:tcW w:w="290"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5625"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xml:space="preserve">       Turnover</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jc w:val="right"/>
              <w:rPr>
                <w:rFonts w:ascii="Arial" w:hAnsi="Arial" w:cs="Arial"/>
                <w:sz w:val="22"/>
                <w:szCs w:val="22"/>
                <w:lang w:eastAsia="en-GB"/>
              </w:rPr>
            </w:pPr>
            <w:r w:rsidRPr="0069044C">
              <w:rPr>
                <w:rFonts w:ascii="Arial" w:hAnsi="Arial" w:cs="Arial"/>
                <w:sz w:val="22"/>
                <w:szCs w:val="22"/>
                <w:lang w:eastAsia="en-GB"/>
              </w:rPr>
              <w:t>0</w:t>
            </w: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289"/>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290"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5625"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1096"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289"/>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jc w:val="right"/>
              <w:rPr>
                <w:rFonts w:ascii="Arial" w:hAnsi="Arial" w:cs="Arial"/>
                <w:sz w:val="22"/>
                <w:szCs w:val="22"/>
                <w:lang w:eastAsia="en-GB"/>
              </w:rPr>
            </w:pPr>
            <w:r w:rsidRPr="0069044C">
              <w:rPr>
                <w:rFonts w:ascii="Arial" w:hAnsi="Arial" w:cs="Arial"/>
                <w:sz w:val="22"/>
                <w:szCs w:val="22"/>
                <w:lang w:eastAsia="en-GB"/>
              </w:rPr>
              <w:t>6,908</w:t>
            </w:r>
          </w:p>
        </w:tc>
        <w:tc>
          <w:tcPr>
            <w:tcW w:w="290"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5625"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(Surplus)/ Deficit</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jc w:val="right"/>
              <w:rPr>
                <w:rFonts w:ascii="Arial" w:hAnsi="Arial" w:cs="Arial"/>
                <w:sz w:val="22"/>
                <w:szCs w:val="22"/>
                <w:lang w:eastAsia="en-GB"/>
              </w:rPr>
            </w:pPr>
            <w:r w:rsidRPr="0069044C">
              <w:rPr>
                <w:rFonts w:ascii="Arial" w:hAnsi="Arial" w:cs="Arial"/>
                <w:sz w:val="22"/>
                <w:szCs w:val="22"/>
                <w:lang w:eastAsia="en-GB"/>
              </w:rPr>
              <w:t>0</w:t>
            </w: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305"/>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290"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5625"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1096" w:type="dxa"/>
            <w:tcBorders>
              <w:top w:val="nil"/>
              <w:left w:val="nil"/>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320"/>
        </w:trPr>
        <w:tc>
          <w:tcPr>
            <w:tcW w:w="287" w:type="dxa"/>
            <w:tcBorders>
              <w:top w:val="nil"/>
              <w:left w:val="single" w:sz="4" w:space="0" w:color="auto"/>
              <w:bottom w:val="nil"/>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single" w:sz="8" w:space="0" w:color="auto"/>
              <w:left w:val="nil"/>
              <w:bottom w:val="single" w:sz="8" w:space="0" w:color="auto"/>
              <w:right w:val="nil"/>
            </w:tcBorders>
            <w:shd w:val="clear" w:color="auto" w:fill="auto"/>
            <w:noWrap/>
            <w:vAlign w:val="bottom"/>
            <w:hideMark/>
          </w:tcPr>
          <w:p w:rsidR="0069044C" w:rsidRPr="0069044C" w:rsidRDefault="0069044C" w:rsidP="0069044C">
            <w:pPr>
              <w:jc w:val="right"/>
              <w:rPr>
                <w:rFonts w:ascii="Arial" w:hAnsi="Arial" w:cs="Arial"/>
                <w:b/>
                <w:bCs/>
                <w:sz w:val="22"/>
                <w:szCs w:val="22"/>
                <w:lang w:eastAsia="en-GB"/>
              </w:rPr>
            </w:pPr>
            <w:r w:rsidRPr="0069044C">
              <w:rPr>
                <w:rFonts w:ascii="Arial" w:hAnsi="Arial" w:cs="Arial"/>
                <w:b/>
                <w:bCs/>
                <w:sz w:val="22"/>
                <w:szCs w:val="22"/>
                <w:lang w:eastAsia="en-GB"/>
              </w:rPr>
              <w:t>6,908</w:t>
            </w:r>
          </w:p>
        </w:tc>
        <w:tc>
          <w:tcPr>
            <w:tcW w:w="290" w:type="dxa"/>
            <w:tcBorders>
              <w:top w:val="single" w:sz="8" w:space="0" w:color="auto"/>
              <w:left w:val="nil"/>
              <w:bottom w:val="single" w:sz="8" w:space="0" w:color="auto"/>
              <w:right w:val="nil"/>
            </w:tcBorders>
            <w:shd w:val="clear" w:color="auto" w:fill="auto"/>
            <w:noWrap/>
            <w:vAlign w:val="bottom"/>
            <w:hideMark/>
          </w:tcPr>
          <w:p w:rsidR="0069044C" w:rsidRPr="0069044C" w:rsidRDefault="0069044C" w:rsidP="0069044C">
            <w:pPr>
              <w:rPr>
                <w:rFonts w:ascii="Arial" w:hAnsi="Arial" w:cs="Arial"/>
                <w:b/>
                <w:bCs/>
                <w:sz w:val="22"/>
                <w:szCs w:val="22"/>
                <w:lang w:eastAsia="en-GB"/>
              </w:rPr>
            </w:pPr>
            <w:r w:rsidRPr="0069044C">
              <w:rPr>
                <w:rFonts w:ascii="Arial" w:hAnsi="Arial" w:cs="Arial"/>
                <w:b/>
                <w:bCs/>
                <w:sz w:val="22"/>
                <w:szCs w:val="22"/>
                <w:lang w:eastAsia="en-GB"/>
              </w:rPr>
              <w:t> </w:t>
            </w:r>
          </w:p>
        </w:tc>
        <w:tc>
          <w:tcPr>
            <w:tcW w:w="5625" w:type="dxa"/>
            <w:tcBorders>
              <w:top w:val="single" w:sz="8" w:space="0" w:color="auto"/>
              <w:left w:val="nil"/>
              <w:bottom w:val="single" w:sz="8" w:space="0" w:color="auto"/>
              <w:right w:val="nil"/>
            </w:tcBorders>
            <w:shd w:val="clear" w:color="auto" w:fill="auto"/>
            <w:noWrap/>
            <w:vAlign w:val="bottom"/>
            <w:hideMark/>
          </w:tcPr>
          <w:p w:rsidR="0069044C" w:rsidRPr="0069044C" w:rsidRDefault="0069044C" w:rsidP="0069044C">
            <w:pPr>
              <w:rPr>
                <w:rFonts w:ascii="Arial" w:hAnsi="Arial" w:cs="Arial"/>
                <w:b/>
                <w:bCs/>
                <w:sz w:val="22"/>
                <w:szCs w:val="22"/>
                <w:lang w:eastAsia="en-GB"/>
              </w:rPr>
            </w:pPr>
            <w:r w:rsidRPr="0069044C">
              <w:rPr>
                <w:rFonts w:ascii="Arial" w:hAnsi="Arial" w:cs="Arial"/>
                <w:b/>
                <w:bCs/>
                <w:sz w:val="22"/>
                <w:szCs w:val="22"/>
                <w:lang w:eastAsia="en-GB"/>
              </w:rPr>
              <w:t>Total (Surplus)/ Deficit</w:t>
            </w:r>
          </w:p>
        </w:tc>
        <w:tc>
          <w:tcPr>
            <w:tcW w:w="1096" w:type="dxa"/>
            <w:tcBorders>
              <w:top w:val="single" w:sz="8" w:space="0" w:color="auto"/>
              <w:left w:val="nil"/>
              <w:bottom w:val="single" w:sz="8" w:space="0" w:color="auto"/>
              <w:right w:val="nil"/>
            </w:tcBorders>
            <w:shd w:val="clear" w:color="auto" w:fill="auto"/>
            <w:noWrap/>
            <w:vAlign w:val="bottom"/>
            <w:hideMark/>
          </w:tcPr>
          <w:p w:rsidR="0069044C" w:rsidRPr="0069044C" w:rsidRDefault="0069044C" w:rsidP="0069044C">
            <w:pPr>
              <w:jc w:val="right"/>
              <w:rPr>
                <w:rFonts w:ascii="Arial" w:hAnsi="Arial" w:cs="Arial"/>
                <w:b/>
                <w:bCs/>
                <w:sz w:val="22"/>
                <w:szCs w:val="22"/>
                <w:lang w:eastAsia="en-GB"/>
              </w:rPr>
            </w:pPr>
            <w:r w:rsidRPr="0069044C">
              <w:rPr>
                <w:rFonts w:ascii="Arial" w:hAnsi="Arial" w:cs="Arial"/>
                <w:b/>
                <w:bCs/>
                <w:sz w:val="22"/>
                <w:szCs w:val="22"/>
                <w:lang w:eastAsia="en-GB"/>
              </w:rPr>
              <w:t>0</w:t>
            </w:r>
          </w:p>
        </w:tc>
        <w:tc>
          <w:tcPr>
            <w:tcW w:w="287" w:type="dxa"/>
            <w:tcBorders>
              <w:top w:val="nil"/>
              <w:left w:val="nil"/>
              <w:bottom w:val="nil"/>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r w:rsidR="0069044C" w:rsidRPr="0069044C" w:rsidTr="0069044C">
        <w:trPr>
          <w:trHeight w:val="168"/>
        </w:trPr>
        <w:tc>
          <w:tcPr>
            <w:tcW w:w="287" w:type="dxa"/>
            <w:tcBorders>
              <w:top w:val="nil"/>
              <w:left w:val="single" w:sz="4" w:space="0" w:color="auto"/>
              <w:bottom w:val="single" w:sz="4" w:space="0" w:color="auto"/>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single" w:sz="4" w:space="0" w:color="auto"/>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290" w:type="dxa"/>
            <w:tcBorders>
              <w:top w:val="nil"/>
              <w:left w:val="nil"/>
              <w:bottom w:val="single" w:sz="4" w:space="0" w:color="auto"/>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5625" w:type="dxa"/>
            <w:tcBorders>
              <w:top w:val="nil"/>
              <w:left w:val="nil"/>
              <w:bottom w:val="single" w:sz="4" w:space="0" w:color="auto"/>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1096" w:type="dxa"/>
            <w:tcBorders>
              <w:top w:val="nil"/>
              <w:left w:val="nil"/>
              <w:bottom w:val="single" w:sz="4" w:space="0" w:color="auto"/>
              <w:right w:val="nil"/>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c>
          <w:tcPr>
            <w:tcW w:w="287" w:type="dxa"/>
            <w:tcBorders>
              <w:top w:val="nil"/>
              <w:left w:val="nil"/>
              <w:bottom w:val="single" w:sz="4" w:space="0" w:color="auto"/>
              <w:right w:val="single" w:sz="4" w:space="0" w:color="auto"/>
            </w:tcBorders>
            <w:shd w:val="clear" w:color="auto" w:fill="auto"/>
            <w:noWrap/>
            <w:vAlign w:val="bottom"/>
            <w:hideMark/>
          </w:tcPr>
          <w:p w:rsidR="0069044C" w:rsidRPr="0069044C" w:rsidRDefault="0069044C" w:rsidP="0069044C">
            <w:pPr>
              <w:rPr>
                <w:rFonts w:ascii="Arial" w:hAnsi="Arial" w:cs="Arial"/>
                <w:sz w:val="22"/>
                <w:szCs w:val="22"/>
                <w:lang w:eastAsia="en-GB"/>
              </w:rPr>
            </w:pPr>
            <w:r w:rsidRPr="0069044C">
              <w:rPr>
                <w:rFonts w:ascii="Arial" w:hAnsi="Arial" w:cs="Arial"/>
                <w:sz w:val="22"/>
                <w:szCs w:val="22"/>
                <w:lang w:eastAsia="en-GB"/>
              </w:rPr>
              <w:t> </w:t>
            </w:r>
          </w:p>
        </w:tc>
      </w:tr>
    </w:tbl>
    <w:p w:rsidR="00635730" w:rsidRDefault="00635730">
      <w:pPr>
        <w:rPr>
          <w:rFonts w:ascii="Arial" w:hAnsi="Arial" w:cs="Arial"/>
          <w:bCs/>
          <w:sz w:val="22"/>
        </w:rPr>
      </w:pPr>
    </w:p>
    <w:p w:rsidR="00635730" w:rsidRDefault="00635730">
      <w:pPr>
        <w:rPr>
          <w:rFonts w:ascii="Arial" w:hAnsi="Arial" w:cs="Arial"/>
          <w:bCs/>
          <w:sz w:val="22"/>
        </w:rPr>
      </w:pPr>
    </w:p>
    <w:p w:rsidR="00635730" w:rsidRDefault="00635730">
      <w:pPr>
        <w:rPr>
          <w:rFonts w:ascii="Arial" w:hAnsi="Arial" w:cs="Arial"/>
          <w:bCs/>
          <w:sz w:val="22"/>
        </w:rPr>
      </w:pPr>
    </w:p>
    <w:p w:rsidR="001C6CA7" w:rsidRDefault="001C6CA7">
      <w:pPr>
        <w:rPr>
          <w:rFonts w:ascii="Arial" w:hAnsi="Arial" w:cs="Arial"/>
          <w:bCs/>
          <w:sz w:val="22"/>
        </w:rPr>
      </w:pPr>
    </w:p>
    <w:p w:rsidR="001C6CA7" w:rsidRDefault="001C6CA7">
      <w:pPr>
        <w:rPr>
          <w:rFonts w:ascii="Arial" w:hAnsi="Arial" w:cs="Arial"/>
          <w:bCs/>
          <w:sz w:val="22"/>
        </w:rPr>
      </w:pPr>
    </w:p>
    <w:p w:rsidR="00F23FFF" w:rsidRDefault="00672827">
      <w:pPr>
        <w:pStyle w:val="xl50"/>
        <w:spacing w:before="0" w:beforeAutospacing="0" w:after="0" w:afterAutospacing="0"/>
        <w:rPr>
          <w:rFonts w:eastAsia="Times New Roman"/>
          <w:bCs w:val="0"/>
          <w:szCs w:val="20"/>
        </w:rPr>
      </w:pPr>
      <w:r>
        <w:rPr>
          <w:rFonts w:eastAsia="Times New Roman"/>
          <w:bCs w:val="0"/>
          <w:szCs w:val="20"/>
        </w:rPr>
        <w:t>20</w:t>
      </w:r>
      <w:r w:rsidR="003552BC">
        <w:rPr>
          <w:rFonts w:eastAsia="Times New Roman"/>
          <w:bCs w:val="0"/>
          <w:szCs w:val="20"/>
        </w:rPr>
        <w:t xml:space="preserve">     Members Allowances</w:t>
      </w:r>
    </w:p>
    <w:p w:rsidR="00F23FFF" w:rsidRDefault="00F23FFF">
      <w:pPr>
        <w:rPr>
          <w:rFonts w:ascii="Arial" w:hAnsi="Arial" w:cs="Arial"/>
          <w:bCs/>
          <w:sz w:val="22"/>
        </w:rPr>
      </w:pPr>
    </w:p>
    <w:p w:rsidR="00F23FFF" w:rsidRDefault="003552BC" w:rsidP="006C6121">
      <w:pPr>
        <w:pStyle w:val="BodyText"/>
        <w:ind w:left="567"/>
        <w:jc w:val="left"/>
        <w:rPr>
          <w:rFonts w:ascii="Arial" w:hAnsi="Arial" w:cs="Arial"/>
          <w:sz w:val="22"/>
        </w:rPr>
      </w:pPr>
      <w:r>
        <w:rPr>
          <w:rFonts w:ascii="Arial" w:hAnsi="Arial" w:cs="Arial"/>
          <w:sz w:val="22"/>
        </w:rPr>
        <w:t>The total of Members’ allowances paid in the year was £</w:t>
      </w:r>
      <w:r w:rsidR="004826DE">
        <w:rPr>
          <w:rFonts w:ascii="Arial" w:hAnsi="Arial" w:cs="Arial"/>
          <w:sz w:val="22"/>
        </w:rPr>
        <w:t>369,759</w:t>
      </w:r>
      <w:r>
        <w:rPr>
          <w:rFonts w:ascii="Arial" w:hAnsi="Arial" w:cs="Arial"/>
          <w:color w:val="FF0000"/>
          <w:sz w:val="22"/>
        </w:rPr>
        <w:t xml:space="preserve"> </w:t>
      </w:r>
      <w:r>
        <w:rPr>
          <w:rFonts w:ascii="Arial" w:hAnsi="Arial" w:cs="Arial"/>
          <w:sz w:val="22"/>
        </w:rPr>
        <w:t>(£</w:t>
      </w:r>
      <w:r w:rsidR="00216495">
        <w:rPr>
          <w:rFonts w:ascii="Arial" w:hAnsi="Arial" w:cs="Arial"/>
          <w:sz w:val="22"/>
        </w:rPr>
        <w:t>363,269 in 2012</w:t>
      </w:r>
      <w:r w:rsidR="00C35EE4">
        <w:rPr>
          <w:rFonts w:ascii="Arial" w:hAnsi="Arial" w:cs="Arial"/>
          <w:sz w:val="22"/>
        </w:rPr>
        <w:t>-</w:t>
      </w:r>
      <w:r w:rsidR="00216495">
        <w:rPr>
          <w:rFonts w:ascii="Arial" w:hAnsi="Arial" w:cs="Arial"/>
          <w:sz w:val="22"/>
        </w:rPr>
        <w:t>13</w:t>
      </w:r>
      <w:r>
        <w:rPr>
          <w:rFonts w:ascii="Arial" w:hAnsi="Arial" w:cs="Arial"/>
          <w:sz w:val="22"/>
        </w:rPr>
        <w:t xml:space="preserve">). Further information is available upon request from the Democratic Services Manager, South Cambridgeshire District Council, South Cambridgeshire Hall, Cambourne Business Park, Cambourne, </w:t>
      </w:r>
      <w:proofErr w:type="gramStart"/>
      <w:r>
        <w:rPr>
          <w:rFonts w:ascii="Arial" w:hAnsi="Arial" w:cs="Arial"/>
          <w:sz w:val="22"/>
        </w:rPr>
        <w:t>Cambridge</w:t>
      </w:r>
      <w:proofErr w:type="gramEnd"/>
      <w:r>
        <w:rPr>
          <w:rFonts w:ascii="Arial" w:hAnsi="Arial" w:cs="Arial"/>
          <w:sz w:val="22"/>
        </w:rPr>
        <w:t>, CB23 6EA.</w:t>
      </w: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69044C" w:rsidRDefault="0069044C">
      <w:pPr>
        <w:rPr>
          <w:rFonts w:ascii="Arial" w:hAnsi="Arial" w:cs="Arial"/>
          <w:bCs/>
          <w:sz w:val="22"/>
        </w:rPr>
      </w:pPr>
    </w:p>
    <w:p w:rsidR="0069044C" w:rsidRDefault="0069044C">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rPr>
          <w:rFonts w:ascii="Arial" w:hAnsi="Arial" w:cs="Arial"/>
          <w:bCs/>
          <w:sz w:val="22"/>
        </w:rPr>
      </w:pPr>
    </w:p>
    <w:p w:rsidR="00F23FFF" w:rsidRDefault="00F23FFF">
      <w:pPr>
        <w:pStyle w:val="xl50"/>
        <w:spacing w:before="0" w:beforeAutospacing="0" w:after="0" w:afterAutospacing="0"/>
        <w:ind w:left="426" w:hanging="426"/>
        <w:rPr>
          <w:rFonts w:eastAsia="Times New Roman"/>
          <w:bCs w:val="0"/>
          <w:szCs w:val="20"/>
        </w:rPr>
      </w:pPr>
    </w:p>
    <w:p w:rsidR="00F23FFF" w:rsidRDefault="00F23FFF">
      <w:pPr>
        <w:pStyle w:val="xl50"/>
        <w:spacing w:before="0" w:beforeAutospacing="0" w:after="0" w:afterAutospacing="0"/>
        <w:ind w:left="426" w:hanging="426"/>
        <w:rPr>
          <w:rFonts w:eastAsia="Times New Roman"/>
          <w:bCs w:val="0"/>
          <w:szCs w:val="20"/>
        </w:rPr>
      </w:pPr>
    </w:p>
    <w:p w:rsidR="00F23FFF" w:rsidRDefault="003552BC">
      <w:pPr>
        <w:pStyle w:val="xl50"/>
        <w:spacing w:before="0" w:beforeAutospacing="0" w:after="0" w:afterAutospacing="0"/>
        <w:ind w:left="426" w:hanging="426"/>
        <w:rPr>
          <w:rFonts w:eastAsia="Times New Roman"/>
          <w:bCs w:val="0"/>
          <w:szCs w:val="20"/>
        </w:rPr>
      </w:pPr>
      <w:r>
        <w:rPr>
          <w:rFonts w:eastAsia="Times New Roman"/>
          <w:bCs w:val="0"/>
          <w:szCs w:val="20"/>
        </w:rPr>
        <w:lastRenderedPageBreak/>
        <w:t>2</w:t>
      </w:r>
      <w:r w:rsidR="00672827">
        <w:rPr>
          <w:rFonts w:eastAsia="Times New Roman"/>
          <w:bCs w:val="0"/>
          <w:szCs w:val="20"/>
        </w:rPr>
        <w:t>1</w:t>
      </w:r>
      <w:r>
        <w:rPr>
          <w:rFonts w:eastAsia="Times New Roman"/>
          <w:bCs w:val="0"/>
          <w:szCs w:val="20"/>
        </w:rPr>
        <w:t xml:space="preserve">     Officers’ Remuneration</w:t>
      </w:r>
    </w:p>
    <w:p w:rsidR="00F23FFF" w:rsidRDefault="00F23FFF">
      <w:pPr>
        <w:rPr>
          <w:rFonts w:ascii="Arial" w:hAnsi="Arial" w:cs="Arial"/>
          <w:bCs/>
          <w:sz w:val="22"/>
        </w:rPr>
      </w:pPr>
    </w:p>
    <w:p w:rsidR="00F23FFF" w:rsidRDefault="003552BC" w:rsidP="00E939F0">
      <w:pPr>
        <w:ind w:left="567"/>
        <w:rPr>
          <w:rFonts w:ascii="Arial" w:hAnsi="Arial" w:cs="Arial"/>
          <w:sz w:val="22"/>
        </w:rPr>
      </w:pPr>
      <w:r>
        <w:rPr>
          <w:rFonts w:ascii="Arial" w:hAnsi="Arial" w:cs="Arial"/>
          <w:sz w:val="22"/>
        </w:rPr>
        <w:t>The number of employees, excluding Senior Officers shown below, whose remuneration was £</w:t>
      </w:r>
      <w:r>
        <w:rPr>
          <w:rFonts w:ascii="Arial" w:hAnsi="Arial" w:cs="Arial"/>
          <w:color w:val="000000"/>
          <w:sz w:val="22"/>
        </w:rPr>
        <w:t>50,000</w:t>
      </w:r>
      <w:r>
        <w:rPr>
          <w:rFonts w:ascii="Arial" w:hAnsi="Arial" w:cs="Arial"/>
          <w:sz w:val="22"/>
        </w:rPr>
        <w:t xml:space="preserve"> or more were:</w:t>
      </w:r>
    </w:p>
    <w:p w:rsidR="0069044C" w:rsidRDefault="0069044C" w:rsidP="00E939F0">
      <w:pPr>
        <w:ind w:left="567"/>
        <w:rPr>
          <w:rFonts w:ascii="Arial" w:hAnsi="Arial" w:cs="Arial"/>
          <w:sz w:val="22"/>
        </w:rPr>
      </w:pPr>
    </w:p>
    <w:tbl>
      <w:tblPr>
        <w:tblW w:w="6200" w:type="dxa"/>
        <w:jc w:val="center"/>
        <w:tblInd w:w="93" w:type="dxa"/>
        <w:tblLook w:val="04A0" w:firstRow="1" w:lastRow="0" w:firstColumn="1" w:lastColumn="0" w:noHBand="0" w:noVBand="1"/>
      </w:tblPr>
      <w:tblGrid>
        <w:gridCol w:w="272"/>
        <w:gridCol w:w="2380"/>
        <w:gridCol w:w="580"/>
        <w:gridCol w:w="1354"/>
        <w:gridCol w:w="360"/>
        <w:gridCol w:w="1354"/>
        <w:gridCol w:w="272"/>
      </w:tblGrid>
      <w:tr w:rsidR="009B2E9B" w:rsidRPr="009B2E9B" w:rsidTr="009B2E9B">
        <w:trPr>
          <w:trHeight w:val="945"/>
          <w:jc w:val="center"/>
        </w:trPr>
        <w:tc>
          <w:tcPr>
            <w:tcW w:w="180" w:type="dxa"/>
            <w:tcBorders>
              <w:top w:val="single" w:sz="4" w:space="0" w:color="auto"/>
              <w:left w:val="single" w:sz="4" w:space="0" w:color="auto"/>
              <w:bottom w:val="nil"/>
              <w:right w:val="nil"/>
            </w:tcBorders>
            <w:shd w:val="clear" w:color="auto" w:fill="auto"/>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single" w:sz="4" w:space="0" w:color="auto"/>
              <w:left w:val="nil"/>
              <w:bottom w:val="nil"/>
              <w:right w:val="nil"/>
            </w:tcBorders>
            <w:shd w:val="clear" w:color="auto" w:fill="auto"/>
            <w:vAlign w:val="bottom"/>
            <w:hideMark/>
          </w:tcPr>
          <w:p w:rsidR="009B2E9B" w:rsidRPr="009B2E9B" w:rsidRDefault="009B2E9B" w:rsidP="009B2E9B">
            <w:pPr>
              <w:rPr>
                <w:rFonts w:ascii="Arial" w:hAnsi="Arial" w:cs="Arial"/>
                <w:b/>
                <w:bCs/>
                <w:sz w:val="22"/>
                <w:szCs w:val="22"/>
                <w:lang w:eastAsia="en-GB"/>
              </w:rPr>
            </w:pPr>
            <w:r w:rsidRPr="009B2E9B">
              <w:rPr>
                <w:rFonts w:ascii="Arial" w:hAnsi="Arial" w:cs="Arial"/>
                <w:b/>
                <w:bCs/>
                <w:sz w:val="22"/>
                <w:szCs w:val="22"/>
                <w:lang w:eastAsia="en-GB"/>
              </w:rPr>
              <w:t>Remuneration band</w:t>
            </w:r>
          </w:p>
        </w:tc>
        <w:tc>
          <w:tcPr>
            <w:tcW w:w="580" w:type="dxa"/>
            <w:tcBorders>
              <w:top w:val="single" w:sz="4" w:space="0" w:color="auto"/>
              <w:left w:val="nil"/>
              <w:bottom w:val="nil"/>
              <w:right w:val="nil"/>
            </w:tcBorders>
            <w:shd w:val="clear" w:color="auto" w:fill="auto"/>
            <w:vAlign w:val="bottom"/>
            <w:hideMark/>
          </w:tcPr>
          <w:p w:rsidR="009B2E9B" w:rsidRPr="009B2E9B" w:rsidRDefault="009B2E9B" w:rsidP="009B2E9B">
            <w:pPr>
              <w:rPr>
                <w:rFonts w:ascii="Arial" w:hAnsi="Arial" w:cs="Arial"/>
                <w:b/>
                <w:bCs/>
                <w:sz w:val="22"/>
                <w:szCs w:val="22"/>
                <w:lang w:eastAsia="en-GB"/>
              </w:rPr>
            </w:pPr>
            <w:r w:rsidRPr="009B2E9B">
              <w:rPr>
                <w:rFonts w:ascii="Arial" w:hAnsi="Arial" w:cs="Arial"/>
                <w:b/>
                <w:bCs/>
                <w:sz w:val="22"/>
                <w:szCs w:val="22"/>
                <w:lang w:eastAsia="en-GB"/>
              </w:rPr>
              <w:t> </w:t>
            </w:r>
          </w:p>
        </w:tc>
        <w:tc>
          <w:tcPr>
            <w:tcW w:w="1240" w:type="dxa"/>
            <w:tcBorders>
              <w:top w:val="single" w:sz="4" w:space="0" w:color="auto"/>
              <w:left w:val="nil"/>
              <w:bottom w:val="nil"/>
              <w:right w:val="nil"/>
            </w:tcBorders>
            <w:shd w:val="clear" w:color="auto" w:fill="auto"/>
            <w:vAlign w:val="bottom"/>
            <w:hideMark/>
          </w:tcPr>
          <w:p w:rsidR="009B2E9B" w:rsidRPr="009B2E9B" w:rsidRDefault="009B2E9B" w:rsidP="009B2E9B">
            <w:pPr>
              <w:jc w:val="center"/>
              <w:rPr>
                <w:rFonts w:ascii="Arial" w:hAnsi="Arial" w:cs="Arial"/>
                <w:b/>
                <w:bCs/>
                <w:sz w:val="22"/>
                <w:szCs w:val="22"/>
                <w:lang w:eastAsia="en-GB"/>
              </w:rPr>
            </w:pPr>
            <w:r w:rsidRPr="009B2E9B">
              <w:rPr>
                <w:rFonts w:ascii="Arial" w:hAnsi="Arial" w:cs="Arial"/>
                <w:b/>
                <w:bCs/>
                <w:sz w:val="22"/>
                <w:szCs w:val="22"/>
                <w:lang w:eastAsia="en-GB"/>
              </w:rPr>
              <w:t>2013-14         number of employees</w:t>
            </w:r>
          </w:p>
        </w:tc>
        <w:tc>
          <w:tcPr>
            <w:tcW w:w="360" w:type="dxa"/>
            <w:tcBorders>
              <w:top w:val="single" w:sz="4" w:space="0" w:color="auto"/>
              <w:left w:val="nil"/>
              <w:bottom w:val="nil"/>
              <w:right w:val="nil"/>
            </w:tcBorders>
            <w:shd w:val="clear" w:color="auto" w:fill="auto"/>
            <w:vAlign w:val="bottom"/>
            <w:hideMark/>
          </w:tcPr>
          <w:p w:rsidR="009B2E9B" w:rsidRPr="009B2E9B" w:rsidRDefault="009B2E9B" w:rsidP="009B2E9B">
            <w:pPr>
              <w:jc w:val="center"/>
              <w:rPr>
                <w:rFonts w:ascii="Arial" w:hAnsi="Arial" w:cs="Arial"/>
                <w:b/>
                <w:bCs/>
                <w:sz w:val="22"/>
                <w:szCs w:val="22"/>
                <w:lang w:eastAsia="en-GB"/>
              </w:rPr>
            </w:pPr>
            <w:r w:rsidRPr="009B2E9B">
              <w:rPr>
                <w:rFonts w:ascii="Arial" w:hAnsi="Arial" w:cs="Arial"/>
                <w:b/>
                <w:bCs/>
                <w:sz w:val="22"/>
                <w:szCs w:val="22"/>
                <w:lang w:eastAsia="en-GB"/>
              </w:rPr>
              <w:t> </w:t>
            </w:r>
          </w:p>
        </w:tc>
        <w:tc>
          <w:tcPr>
            <w:tcW w:w="1240" w:type="dxa"/>
            <w:tcBorders>
              <w:top w:val="single" w:sz="4" w:space="0" w:color="auto"/>
              <w:left w:val="nil"/>
              <w:bottom w:val="nil"/>
              <w:right w:val="nil"/>
            </w:tcBorders>
            <w:shd w:val="clear" w:color="auto" w:fill="auto"/>
            <w:vAlign w:val="bottom"/>
            <w:hideMark/>
          </w:tcPr>
          <w:p w:rsidR="009B2E9B" w:rsidRPr="009B2E9B" w:rsidRDefault="009B2E9B" w:rsidP="009B2E9B">
            <w:pPr>
              <w:jc w:val="center"/>
              <w:rPr>
                <w:rFonts w:ascii="Arial" w:hAnsi="Arial" w:cs="Arial"/>
                <w:b/>
                <w:bCs/>
                <w:sz w:val="22"/>
                <w:szCs w:val="22"/>
                <w:lang w:eastAsia="en-GB"/>
              </w:rPr>
            </w:pPr>
            <w:r w:rsidRPr="009B2E9B">
              <w:rPr>
                <w:rFonts w:ascii="Arial" w:hAnsi="Arial" w:cs="Arial"/>
                <w:b/>
                <w:bCs/>
                <w:sz w:val="22"/>
                <w:szCs w:val="22"/>
                <w:lang w:eastAsia="en-GB"/>
              </w:rPr>
              <w:t>2012-13         number of employees</w:t>
            </w:r>
          </w:p>
        </w:tc>
        <w:tc>
          <w:tcPr>
            <w:tcW w:w="220" w:type="dxa"/>
            <w:tcBorders>
              <w:top w:val="single" w:sz="4" w:space="0" w:color="auto"/>
              <w:left w:val="nil"/>
              <w:bottom w:val="nil"/>
              <w:right w:val="single" w:sz="4" w:space="0" w:color="auto"/>
            </w:tcBorders>
            <w:shd w:val="clear" w:color="auto" w:fill="auto"/>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135"/>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b/>
                <w:bCs/>
                <w:sz w:val="22"/>
                <w:szCs w:val="22"/>
                <w:lang w:eastAsia="en-GB"/>
              </w:rPr>
            </w:pP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b/>
                <w:bCs/>
                <w:sz w:val="22"/>
                <w:szCs w:val="22"/>
                <w:lang w:eastAsia="en-GB"/>
              </w:rPr>
            </w:pP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b/>
                <w:bCs/>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£50,000 - £54,999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6</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3</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£55,000 - £59,999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4</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2</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£60,000 - £64,999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1</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1</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£65,000 – £69,999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2</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2</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£70,000 - £74,999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0</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0</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£75,000 – £79,999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0</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0</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nil"/>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nil"/>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£80,000 - £84,999</w:t>
            </w:r>
          </w:p>
        </w:tc>
        <w:tc>
          <w:tcPr>
            <w:tcW w:w="58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sz w:val="22"/>
                <w:szCs w:val="22"/>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0</w:t>
            </w:r>
          </w:p>
        </w:tc>
        <w:tc>
          <w:tcPr>
            <w:tcW w:w="36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p>
        </w:tc>
        <w:tc>
          <w:tcPr>
            <w:tcW w:w="1240" w:type="dxa"/>
            <w:tcBorders>
              <w:top w:val="nil"/>
              <w:left w:val="nil"/>
              <w:bottom w:val="nil"/>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1</w:t>
            </w:r>
          </w:p>
        </w:tc>
        <w:tc>
          <w:tcPr>
            <w:tcW w:w="220" w:type="dxa"/>
            <w:tcBorders>
              <w:top w:val="nil"/>
              <w:left w:val="nil"/>
              <w:bottom w:val="nil"/>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r w:rsidR="009B2E9B" w:rsidRPr="009B2E9B" w:rsidTr="009B2E9B">
        <w:trPr>
          <w:trHeight w:val="402"/>
          <w:jc w:val="center"/>
        </w:trPr>
        <w:tc>
          <w:tcPr>
            <w:tcW w:w="180" w:type="dxa"/>
            <w:tcBorders>
              <w:top w:val="nil"/>
              <w:left w:val="single" w:sz="4" w:space="0" w:color="auto"/>
              <w:bottom w:val="single" w:sz="4" w:space="0" w:color="auto"/>
              <w:right w:val="nil"/>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c>
          <w:tcPr>
            <w:tcW w:w="2380" w:type="dxa"/>
            <w:tcBorders>
              <w:top w:val="nil"/>
              <w:left w:val="nil"/>
              <w:bottom w:val="single" w:sz="4" w:space="0" w:color="auto"/>
              <w:right w:val="nil"/>
            </w:tcBorders>
            <w:shd w:val="clear" w:color="auto" w:fill="auto"/>
            <w:noWrap/>
            <w:vAlign w:val="bottom"/>
            <w:hideMark/>
          </w:tcPr>
          <w:p w:rsidR="009B2E9B" w:rsidRPr="009B2E9B" w:rsidRDefault="009B2E9B" w:rsidP="009B2E9B">
            <w:pPr>
              <w:rPr>
                <w:rFonts w:ascii="Arial" w:hAnsi="Arial" w:cs="Arial"/>
                <w:sz w:val="22"/>
                <w:szCs w:val="22"/>
                <w:lang w:eastAsia="en-GB"/>
              </w:rPr>
            </w:pPr>
            <w:r w:rsidRPr="009B2E9B">
              <w:rPr>
                <w:rFonts w:ascii="Arial" w:hAnsi="Arial" w:cs="Arial"/>
                <w:sz w:val="22"/>
                <w:szCs w:val="22"/>
                <w:lang w:eastAsia="en-GB"/>
              </w:rPr>
              <w:t> </w:t>
            </w:r>
          </w:p>
        </w:tc>
        <w:tc>
          <w:tcPr>
            <w:tcW w:w="580" w:type="dxa"/>
            <w:tcBorders>
              <w:top w:val="nil"/>
              <w:left w:val="nil"/>
              <w:bottom w:val="single" w:sz="4" w:space="0" w:color="auto"/>
              <w:right w:val="nil"/>
            </w:tcBorders>
            <w:shd w:val="clear" w:color="auto" w:fill="auto"/>
            <w:noWrap/>
            <w:vAlign w:val="bottom"/>
            <w:hideMark/>
          </w:tcPr>
          <w:p w:rsidR="009B2E9B" w:rsidRPr="009B2E9B" w:rsidRDefault="009B2E9B" w:rsidP="009B2E9B">
            <w:pPr>
              <w:jc w:val="center"/>
              <w:rPr>
                <w:lang w:eastAsia="en-GB"/>
              </w:rPr>
            </w:pPr>
            <w:r w:rsidRPr="009B2E9B">
              <w:rPr>
                <w:lang w:eastAsia="en-GB"/>
              </w:rPr>
              <w:t> </w:t>
            </w:r>
          </w:p>
        </w:tc>
        <w:tc>
          <w:tcPr>
            <w:tcW w:w="1240" w:type="dxa"/>
            <w:tcBorders>
              <w:top w:val="nil"/>
              <w:left w:val="nil"/>
              <w:bottom w:val="single" w:sz="4" w:space="0" w:color="auto"/>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 </w:t>
            </w:r>
          </w:p>
        </w:tc>
        <w:tc>
          <w:tcPr>
            <w:tcW w:w="360" w:type="dxa"/>
            <w:tcBorders>
              <w:top w:val="nil"/>
              <w:left w:val="nil"/>
              <w:bottom w:val="single" w:sz="4" w:space="0" w:color="auto"/>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 </w:t>
            </w:r>
          </w:p>
        </w:tc>
        <w:tc>
          <w:tcPr>
            <w:tcW w:w="1240" w:type="dxa"/>
            <w:tcBorders>
              <w:top w:val="nil"/>
              <w:left w:val="nil"/>
              <w:bottom w:val="single" w:sz="4" w:space="0" w:color="auto"/>
              <w:right w:val="nil"/>
            </w:tcBorders>
            <w:shd w:val="clear" w:color="auto" w:fill="auto"/>
            <w:noWrap/>
            <w:vAlign w:val="bottom"/>
            <w:hideMark/>
          </w:tcPr>
          <w:p w:rsidR="009B2E9B" w:rsidRPr="009B2E9B" w:rsidRDefault="009B2E9B" w:rsidP="009B2E9B">
            <w:pPr>
              <w:jc w:val="center"/>
              <w:rPr>
                <w:rFonts w:ascii="Arial" w:hAnsi="Arial" w:cs="Arial"/>
                <w:lang w:eastAsia="en-GB"/>
              </w:rPr>
            </w:pPr>
            <w:r w:rsidRPr="009B2E9B">
              <w:rPr>
                <w:rFonts w:ascii="Arial" w:hAnsi="Arial" w:cs="Arial"/>
                <w:lang w:eastAsia="en-GB"/>
              </w:rPr>
              <w:t> </w:t>
            </w:r>
          </w:p>
        </w:tc>
        <w:tc>
          <w:tcPr>
            <w:tcW w:w="220" w:type="dxa"/>
            <w:tcBorders>
              <w:top w:val="nil"/>
              <w:left w:val="nil"/>
              <w:bottom w:val="single" w:sz="4" w:space="0" w:color="auto"/>
              <w:right w:val="single" w:sz="4" w:space="0" w:color="auto"/>
            </w:tcBorders>
            <w:shd w:val="clear" w:color="auto" w:fill="auto"/>
            <w:noWrap/>
            <w:vAlign w:val="bottom"/>
            <w:hideMark/>
          </w:tcPr>
          <w:p w:rsidR="009B2E9B" w:rsidRPr="009B2E9B" w:rsidRDefault="009B2E9B" w:rsidP="009B2E9B">
            <w:pPr>
              <w:rPr>
                <w:rFonts w:ascii="Arial" w:hAnsi="Arial" w:cs="Arial"/>
                <w:lang w:eastAsia="en-GB"/>
              </w:rPr>
            </w:pPr>
            <w:r w:rsidRPr="009B2E9B">
              <w:rPr>
                <w:rFonts w:ascii="Arial" w:hAnsi="Arial" w:cs="Arial"/>
                <w:lang w:eastAsia="en-GB"/>
              </w:rPr>
              <w:t> </w:t>
            </w:r>
          </w:p>
        </w:tc>
      </w:tr>
    </w:tbl>
    <w:p w:rsidR="008046BA" w:rsidRDefault="008046BA" w:rsidP="00E939F0">
      <w:pPr>
        <w:rPr>
          <w:rFonts w:ascii="Arial" w:hAnsi="Arial" w:cs="Arial"/>
          <w:sz w:val="22"/>
        </w:rPr>
      </w:pPr>
    </w:p>
    <w:p w:rsidR="00F23FFF" w:rsidRDefault="003552BC" w:rsidP="00E939F0">
      <w:r>
        <w:rPr>
          <w:rFonts w:ascii="Arial" w:hAnsi="Arial" w:cs="Arial"/>
          <w:sz w:val="22"/>
        </w:rPr>
        <w:t>Remuneration for these purposes includes all sums paid to or receivable by an employee and sums due by way of expenses allowances (as far as these sums are chargeable to UK income tax) and the money value of any other benefits other than in cash. As remuneration includes redundancy and compensation for loss of office, the number of employees in each salary band can vary from year to year. Pension contributions payable by either the employee or employer are excluded.</w:t>
      </w:r>
    </w:p>
    <w:p w:rsidR="00F23FFF" w:rsidRDefault="00F23FFF">
      <w:pPr>
        <w:rPr>
          <w:rFonts w:ascii="Arial" w:hAnsi="Arial" w:cs="Arial"/>
          <w:sz w:val="22"/>
        </w:rPr>
      </w:pPr>
    </w:p>
    <w:p w:rsidR="00F23FFF" w:rsidRPr="00D32CDE" w:rsidRDefault="00E939F0">
      <w:pPr>
        <w:rPr>
          <w:rFonts w:ascii="Arial" w:hAnsi="Arial" w:cs="Arial"/>
          <w:color w:val="000080"/>
          <w:sz w:val="22"/>
        </w:rPr>
      </w:pPr>
      <w:r>
        <w:rPr>
          <w:rFonts w:ascii="Arial" w:hAnsi="Arial" w:cs="Arial"/>
          <w:color w:val="000080"/>
          <w:sz w:val="22"/>
        </w:rPr>
        <w:t>Exit Packages</w:t>
      </w:r>
    </w:p>
    <w:p w:rsidR="00F23FFF" w:rsidRDefault="00E939F0">
      <w:pPr>
        <w:rPr>
          <w:rFonts w:ascii="Arial" w:hAnsi="Arial" w:cs="Arial"/>
          <w:sz w:val="22"/>
        </w:rPr>
      </w:pPr>
      <w:r>
        <w:rPr>
          <w:rFonts w:ascii="Arial" w:hAnsi="Arial" w:cs="Arial"/>
          <w:sz w:val="22"/>
        </w:rPr>
        <w:t>Exit packages are those that have been agreed by the Authority, i.e. those packages for which the Authority is demonstrably committe</w:t>
      </w:r>
      <w:r w:rsidR="00306416">
        <w:rPr>
          <w:rFonts w:ascii="Arial" w:hAnsi="Arial" w:cs="Arial"/>
          <w:sz w:val="22"/>
        </w:rPr>
        <w:t>d and, have been paid in 201</w:t>
      </w:r>
      <w:r w:rsidR="009B2E9B">
        <w:rPr>
          <w:rFonts w:ascii="Arial" w:hAnsi="Arial" w:cs="Arial"/>
          <w:sz w:val="22"/>
        </w:rPr>
        <w:t>3</w:t>
      </w:r>
      <w:r w:rsidR="00306416">
        <w:rPr>
          <w:rFonts w:ascii="Arial" w:hAnsi="Arial" w:cs="Arial"/>
          <w:sz w:val="22"/>
        </w:rPr>
        <w:t>-1</w:t>
      </w:r>
      <w:r w:rsidR="009B2E9B">
        <w:rPr>
          <w:rFonts w:ascii="Arial" w:hAnsi="Arial" w:cs="Arial"/>
          <w:sz w:val="22"/>
        </w:rPr>
        <w:t>4</w:t>
      </w:r>
      <w:r>
        <w:rPr>
          <w:rFonts w:ascii="Arial" w:hAnsi="Arial" w:cs="Arial"/>
          <w:sz w:val="22"/>
        </w:rPr>
        <w:t xml:space="preserve"> or are committed to be paid within 12 months. The costs included are those termination benefits defined and measured in accordance with the Code of Practice and include all relevant redundancy costs, pension contributions in respect of </w:t>
      </w:r>
      <w:r w:rsidR="002A65EE">
        <w:rPr>
          <w:rFonts w:ascii="Arial" w:hAnsi="Arial" w:cs="Arial"/>
          <w:sz w:val="22"/>
        </w:rPr>
        <w:t>early retirement</w:t>
      </w:r>
      <w:r>
        <w:rPr>
          <w:rFonts w:ascii="Arial" w:hAnsi="Arial" w:cs="Arial"/>
          <w:sz w:val="22"/>
        </w:rPr>
        <w:t>, ex gratia payments and other departure costs.</w:t>
      </w:r>
    </w:p>
    <w:p w:rsidR="00287284" w:rsidRPr="00D32CDE" w:rsidRDefault="009B2E9B">
      <w:pPr>
        <w:rPr>
          <w:rFonts w:ascii="Arial" w:hAnsi="Arial" w:cs="Arial"/>
          <w:sz w:val="22"/>
          <w:szCs w:val="22"/>
        </w:rPr>
      </w:pPr>
      <w:r w:rsidRPr="009B2E9B">
        <w:rPr>
          <w:noProof/>
          <w:lang w:eastAsia="en-GB"/>
        </w:rPr>
        <w:drawing>
          <wp:inline distT="0" distB="0" distL="0" distR="0" wp14:anchorId="24114014" wp14:editId="44D40420">
            <wp:extent cx="5508625" cy="2758957"/>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8625" cy="2758957"/>
                    </a:xfrm>
                    <a:prstGeom prst="rect">
                      <a:avLst/>
                    </a:prstGeom>
                    <a:noFill/>
                    <a:ln>
                      <a:noFill/>
                    </a:ln>
                  </pic:spPr>
                </pic:pic>
              </a:graphicData>
            </a:graphic>
          </wp:inline>
        </w:drawing>
      </w:r>
    </w:p>
    <w:p w:rsidR="00D32CDE" w:rsidRDefault="00D32CDE">
      <w:pPr>
        <w:rPr>
          <w:rFonts w:ascii="Arial" w:hAnsi="Arial" w:cs="Arial"/>
          <w:sz w:val="22"/>
        </w:rPr>
        <w:sectPr w:rsidR="00D32CDE" w:rsidSect="00762BB3">
          <w:pgSz w:w="11907" w:h="16840" w:code="9"/>
          <w:pgMar w:top="1440" w:right="1531" w:bottom="1440" w:left="1701" w:header="720" w:footer="720" w:gutter="0"/>
          <w:cols w:space="720"/>
        </w:sectPr>
      </w:pPr>
    </w:p>
    <w:p w:rsidR="00F23FFF" w:rsidRDefault="003552BC">
      <w:pPr>
        <w:pStyle w:val="xl50"/>
        <w:spacing w:before="0" w:beforeAutospacing="0" w:after="0" w:afterAutospacing="0"/>
        <w:rPr>
          <w:rFonts w:eastAsia="Times New Roman"/>
          <w:b w:val="0"/>
          <w:bCs w:val="0"/>
          <w:szCs w:val="20"/>
        </w:rPr>
      </w:pPr>
      <w:r>
        <w:rPr>
          <w:rFonts w:eastAsia="Times New Roman"/>
          <w:b w:val="0"/>
          <w:bCs w:val="0"/>
          <w:szCs w:val="20"/>
        </w:rPr>
        <w:lastRenderedPageBreak/>
        <w:t>Senior Officer Remuneration</w:t>
      </w:r>
    </w:p>
    <w:p w:rsidR="00F23FFF" w:rsidRDefault="00F23FFF">
      <w:pPr>
        <w:rPr>
          <w:rFonts w:ascii="Arial" w:hAnsi="Arial" w:cs="Arial"/>
          <w:b/>
          <w:bCs/>
          <w:color w:val="000080"/>
          <w:sz w:val="24"/>
        </w:rPr>
      </w:pPr>
    </w:p>
    <w:p w:rsidR="00F23FFF" w:rsidRDefault="00927551">
      <w:pPr>
        <w:rPr>
          <w:rFonts w:ascii="Arial" w:hAnsi="Arial" w:cs="Arial"/>
          <w:sz w:val="22"/>
        </w:rPr>
      </w:pPr>
      <w:r>
        <w:rPr>
          <w:rFonts w:ascii="Arial" w:hAnsi="Arial" w:cs="Arial"/>
          <w:sz w:val="22"/>
        </w:rPr>
        <w:t>In 201</w:t>
      </w:r>
      <w:r w:rsidR="00591890">
        <w:rPr>
          <w:rFonts w:ascii="Arial" w:hAnsi="Arial" w:cs="Arial"/>
          <w:sz w:val="22"/>
        </w:rPr>
        <w:t>3</w:t>
      </w:r>
      <w:r w:rsidR="00F22827">
        <w:rPr>
          <w:rFonts w:ascii="Arial" w:hAnsi="Arial" w:cs="Arial"/>
          <w:sz w:val="22"/>
        </w:rPr>
        <w:t>-</w:t>
      </w:r>
      <w:r>
        <w:rPr>
          <w:rFonts w:ascii="Arial" w:hAnsi="Arial" w:cs="Arial"/>
          <w:sz w:val="22"/>
        </w:rPr>
        <w:t>1</w:t>
      </w:r>
      <w:r w:rsidR="00591890">
        <w:rPr>
          <w:rFonts w:ascii="Arial" w:hAnsi="Arial" w:cs="Arial"/>
          <w:sz w:val="22"/>
        </w:rPr>
        <w:t>4</w:t>
      </w:r>
      <w:r w:rsidR="003552BC">
        <w:rPr>
          <w:rFonts w:ascii="Arial" w:hAnsi="Arial" w:cs="Arial"/>
          <w:sz w:val="22"/>
        </w:rPr>
        <w:t xml:space="preserve"> Senior Officers whose salary is less than £150,000 but equal to or more than £50,000 per year were:</w:t>
      </w:r>
    </w:p>
    <w:p w:rsidR="00927551" w:rsidRDefault="00927551">
      <w:pPr>
        <w:rPr>
          <w:rFonts w:ascii="Arial" w:hAnsi="Arial" w:cs="Arial"/>
          <w:sz w:val="22"/>
        </w:rPr>
      </w:pPr>
    </w:p>
    <w:p w:rsidR="00927551" w:rsidRDefault="00927551">
      <w:pPr>
        <w:rPr>
          <w:rFonts w:ascii="Arial" w:hAnsi="Arial" w:cs="Arial"/>
          <w:sz w:val="22"/>
        </w:rPr>
      </w:pPr>
    </w:p>
    <w:p w:rsidR="00927551" w:rsidRDefault="00927551">
      <w:pPr>
        <w:rPr>
          <w:rFonts w:ascii="Arial" w:hAnsi="Arial" w:cs="Arial"/>
          <w:sz w:val="22"/>
        </w:rPr>
      </w:pPr>
    </w:p>
    <w:p w:rsidR="00927551" w:rsidRDefault="00927551">
      <w:pPr>
        <w:rPr>
          <w:rFonts w:ascii="Arial" w:hAnsi="Arial" w:cs="Arial"/>
          <w:sz w:val="22"/>
        </w:rPr>
      </w:pPr>
    </w:p>
    <w:tbl>
      <w:tblPr>
        <w:tblW w:w="14180" w:type="dxa"/>
        <w:tblInd w:w="93" w:type="dxa"/>
        <w:tblLook w:val="04A0" w:firstRow="1" w:lastRow="0" w:firstColumn="1" w:lastColumn="0" w:noHBand="0" w:noVBand="1"/>
      </w:tblPr>
      <w:tblGrid>
        <w:gridCol w:w="2500"/>
        <w:gridCol w:w="1060"/>
        <w:gridCol w:w="1060"/>
        <w:gridCol w:w="1161"/>
        <w:gridCol w:w="1080"/>
        <w:gridCol w:w="1280"/>
        <w:gridCol w:w="1605"/>
        <w:gridCol w:w="1600"/>
        <w:gridCol w:w="1494"/>
        <w:gridCol w:w="1600"/>
      </w:tblGrid>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Total</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Total</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Compensation</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Remuneration</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Remuneration</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Actual</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Returning</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Benefits in</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for loss of</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excluding</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Employers</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including</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Salary</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Officer</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Election</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Kind</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office</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 xml:space="preserve">pension </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Pension</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 xml:space="preserve">pension </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Paid</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Fees</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Fees</w:t>
            </w:r>
          </w:p>
        </w:tc>
        <w:tc>
          <w:tcPr>
            <w:tcW w:w="1280" w:type="dxa"/>
            <w:tcBorders>
              <w:top w:val="nil"/>
              <w:left w:val="nil"/>
              <w:bottom w:val="nil"/>
              <w:right w:val="nil"/>
            </w:tcBorders>
            <w:shd w:val="clear" w:color="auto" w:fill="auto"/>
            <w:noWrap/>
            <w:vAlign w:val="bottom"/>
            <w:hideMark/>
          </w:tcPr>
          <w:p w:rsidR="006A53D3" w:rsidRPr="006A53D3" w:rsidRDefault="00786942" w:rsidP="006A53D3">
            <w:pPr>
              <w:jc w:val="right"/>
              <w:rPr>
                <w:rFonts w:ascii="Arial" w:hAnsi="Arial" w:cs="Arial"/>
                <w:b/>
                <w:bCs/>
                <w:lang w:eastAsia="en-GB"/>
              </w:rPr>
            </w:pPr>
            <w:r>
              <w:rPr>
                <w:rFonts w:ascii="Arial" w:hAnsi="Arial" w:cs="Arial"/>
                <w:b/>
                <w:bCs/>
                <w:lang w:eastAsia="en-GB"/>
              </w:rPr>
              <w:t>e</w:t>
            </w:r>
            <w:r w:rsidR="006A53D3" w:rsidRPr="006A53D3">
              <w:rPr>
                <w:rFonts w:ascii="Arial" w:hAnsi="Arial" w:cs="Arial"/>
                <w:b/>
                <w:bCs/>
                <w:lang w:eastAsia="en-GB"/>
              </w:rPr>
              <w:t>tc</w:t>
            </w:r>
            <w:r>
              <w:rPr>
                <w:rFonts w:ascii="Arial" w:hAnsi="Arial" w:cs="Arial"/>
                <w:b/>
                <w:bCs/>
                <w:lang w:eastAsia="en-GB"/>
              </w:rPr>
              <w:t>.</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contributions</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contributions</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contributions</w:t>
            </w:r>
          </w:p>
        </w:tc>
      </w:tr>
      <w:tr w:rsidR="006A53D3" w:rsidRPr="006A53D3" w:rsidTr="006A53D3">
        <w:trPr>
          <w:trHeight w:val="270"/>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single" w:sz="8"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06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08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08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28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44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60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48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c>
          <w:tcPr>
            <w:tcW w:w="1600" w:type="dxa"/>
            <w:tcBorders>
              <w:top w:val="nil"/>
              <w:left w:val="nil"/>
              <w:bottom w:val="single" w:sz="8" w:space="0" w:color="auto"/>
              <w:right w:val="nil"/>
            </w:tcBorders>
            <w:shd w:val="clear" w:color="auto" w:fill="auto"/>
            <w:noWrap/>
            <w:vAlign w:val="bottom"/>
            <w:hideMark/>
          </w:tcPr>
          <w:p w:rsidR="006A53D3" w:rsidRPr="006A53D3" w:rsidRDefault="006A53D3" w:rsidP="006A53D3">
            <w:pPr>
              <w:jc w:val="right"/>
              <w:rPr>
                <w:rFonts w:ascii="Arial" w:hAnsi="Arial" w:cs="Arial"/>
                <w:b/>
                <w:bCs/>
                <w:lang w:eastAsia="en-GB"/>
              </w:rPr>
            </w:pPr>
            <w:r w:rsidRPr="006A53D3">
              <w:rPr>
                <w:rFonts w:ascii="Arial" w:hAnsi="Arial" w:cs="Arial"/>
                <w:b/>
                <w:bCs/>
                <w:lang w:eastAsia="en-GB"/>
              </w:rPr>
              <w:t>£</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Chief Executive</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2013-14</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121,200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12,398</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133,598</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26,300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159,898</w:t>
            </w:r>
          </w:p>
        </w:tc>
      </w:tr>
      <w:tr w:rsidR="006A53D3" w:rsidRPr="006A53D3" w:rsidTr="006A53D3">
        <w:trPr>
          <w:trHeight w:val="255"/>
        </w:trPr>
        <w:tc>
          <w:tcPr>
            <w:tcW w:w="250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 </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2012-13</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120,000</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13,549</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133,549</w:t>
            </w:r>
          </w:p>
        </w:tc>
        <w:tc>
          <w:tcPr>
            <w:tcW w:w="14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26,108</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159,657</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 </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 </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 </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 </w:t>
            </w:r>
          </w:p>
        </w:tc>
      </w:tr>
      <w:tr w:rsidR="006A53D3" w:rsidRPr="006A53D3" w:rsidTr="006A53D3">
        <w:trPr>
          <w:trHeight w:val="28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Executive Director</w:t>
            </w:r>
            <w:r w:rsidRPr="006A53D3">
              <w:rPr>
                <w:rFonts w:ascii="Arial" w:hAnsi="Arial" w:cs="Arial"/>
                <w:b/>
                <w:bCs/>
                <w:vertAlign w:val="superscript"/>
                <w:lang w:eastAsia="en-GB"/>
              </w:rPr>
              <w:t xml:space="preserve"> 1</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2013-14</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r>
      <w:tr w:rsidR="006A53D3" w:rsidRPr="006A53D3" w:rsidTr="006A53D3">
        <w:trPr>
          <w:trHeight w:val="255"/>
        </w:trPr>
        <w:tc>
          <w:tcPr>
            <w:tcW w:w="250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(Operational Services)</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2012-13</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12,525</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3,955</w:t>
            </w:r>
          </w:p>
        </w:tc>
        <w:tc>
          <w:tcPr>
            <w:tcW w:w="144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50,291</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66,771</w:t>
            </w:r>
          </w:p>
        </w:tc>
        <w:tc>
          <w:tcPr>
            <w:tcW w:w="14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1,860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68,630</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Executive Director</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2013-14</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104,001</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340</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104,341</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22,568</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126,909</w:t>
            </w:r>
          </w:p>
        </w:tc>
      </w:tr>
      <w:tr w:rsidR="006A53D3" w:rsidRPr="006A53D3" w:rsidTr="006A53D3">
        <w:trPr>
          <w:trHeight w:val="255"/>
        </w:trPr>
        <w:tc>
          <w:tcPr>
            <w:tcW w:w="250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(Corporate Services)</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2012-13</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102,835</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655</w:t>
            </w:r>
          </w:p>
        </w:tc>
        <w:tc>
          <w:tcPr>
            <w:tcW w:w="12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103,490</w:t>
            </w:r>
          </w:p>
        </w:tc>
        <w:tc>
          <w:tcPr>
            <w:tcW w:w="14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22,315</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125,805</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Director of Health &amp;</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2013-14</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16,631</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93,271</w:t>
            </w:r>
          </w:p>
        </w:tc>
      </w:tr>
      <w:tr w:rsidR="006A53D3" w:rsidRPr="006A53D3" w:rsidTr="006A53D3">
        <w:trPr>
          <w:trHeight w:val="255"/>
        </w:trPr>
        <w:tc>
          <w:tcPr>
            <w:tcW w:w="250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Environmental Services</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2012-13</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c>
          <w:tcPr>
            <w:tcW w:w="14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15,894</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89,137</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Director of Housing</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2013-14</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r>
      <w:tr w:rsidR="006A53D3" w:rsidRPr="006A53D3" w:rsidTr="006A53D3">
        <w:trPr>
          <w:trHeight w:val="255"/>
        </w:trPr>
        <w:tc>
          <w:tcPr>
            <w:tcW w:w="250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 </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2012-13</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c>
          <w:tcPr>
            <w:tcW w:w="14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Director of New</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2013-14</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76,640</w:t>
            </w:r>
          </w:p>
        </w:tc>
        <w:tc>
          <w:tcPr>
            <w:tcW w:w="148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16,631</w:t>
            </w:r>
          </w:p>
        </w:tc>
        <w:tc>
          <w:tcPr>
            <w:tcW w:w="1600" w:type="dxa"/>
            <w:tcBorders>
              <w:top w:val="nil"/>
              <w:left w:val="nil"/>
              <w:bottom w:val="nil"/>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93,271</w:t>
            </w:r>
          </w:p>
        </w:tc>
      </w:tr>
      <w:tr w:rsidR="006A53D3" w:rsidRPr="006A53D3" w:rsidTr="006A53D3">
        <w:trPr>
          <w:trHeight w:val="255"/>
        </w:trPr>
        <w:tc>
          <w:tcPr>
            <w:tcW w:w="250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Communities &amp; Planning</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2012-13</w:t>
            </w:r>
          </w:p>
        </w:tc>
        <w:tc>
          <w:tcPr>
            <w:tcW w:w="106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0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2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44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0</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73,243</w:t>
            </w:r>
          </w:p>
        </w:tc>
        <w:tc>
          <w:tcPr>
            <w:tcW w:w="148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15,894</w:t>
            </w:r>
          </w:p>
        </w:tc>
        <w:tc>
          <w:tcPr>
            <w:tcW w:w="1600" w:type="dxa"/>
            <w:tcBorders>
              <w:top w:val="nil"/>
              <w:left w:val="nil"/>
              <w:bottom w:val="single" w:sz="4" w:space="0" w:color="auto"/>
              <w:right w:val="nil"/>
            </w:tcBorders>
            <w:shd w:val="clear" w:color="auto" w:fill="auto"/>
            <w:noWrap/>
            <w:vAlign w:val="bottom"/>
            <w:hideMark/>
          </w:tcPr>
          <w:p w:rsidR="006A53D3" w:rsidRPr="006A53D3" w:rsidRDefault="006A53D3" w:rsidP="006A53D3">
            <w:pPr>
              <w:jc w:val="right"/>
              <w:rPr>
                <w:rFonts w:ascii="Arial" w:hAnsi="Arial" w:cs="Arial"/>
                <w:lang w:eastAsia="en-GB"/>
              </w:rPr>
            </w:pPr>
            <w:r w:rsidRPr="006A53D3">
              <w:rPr>
                <w:rFonts w:ascii="Arial" w:hAnsi="Arial" w:cs="Arial"/>
                <w:lang w:eastAsia="en-GB"/>
              </w:rPr>
              <w:t>89,137</w:t>
            </w:r>
          </w:p>
        </w:tc>
      </w:tr>
      <w:tr w:rsidR="006A53D3" w:rsidRPr="006A53D3" w:rsidTr="006A53D3">
        <w:trPr>
          <w:trHeight w:val="25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r w:rsidR="006A53D3" w:rsidRPr="006A53D3" w:rsidTr="006A53D3">
        <w:trPr>
          <w:trHeight w:val="285"/>
        </w:trPr>
        <w:tc>
          <w:tcPr>
            <w:tcW w:w="25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b/>
                <w:bCs/>
                <w:lang w:eastAsia="en-GB"/>
              </w:rPr>
            </w:pPr>
            <w:r w:rsidRPr="006A53D3">
              <w:rPr>
                <w:rFonts w:ascii="Arial" w:hAnsi="Arial" w:cs="Arial"/>
                <w:b/>
                <w:bCs/>
                <w:lang w:eastAsia="en-GB"/>
              </w:rPr>
              <w:t xml:space="preserve">Executive Director </w:t>
            </w:r>
            <w:r w:rsidRPr="006A53D3">
              <w:rPr>
                <w:rFonts w:ascii="Arial" w:hAnsi="Arial" w:cs="Arial"/>
                <w:b/>
                <w:bCs/>
                <w:vertAlign w:val="superscript"/>
                <w:lang w:eastAsia="en-GB"/>
              </w:rPr>
              <w:t>1</w:t>
            </w:r>
          </w:p>
        </w:tc>
        <w:tc>
          <w:tcPr>
            <w:tcW w:w="106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4500" w:type="dxa"/>
            <w:gridSpan w:val="4"/>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r w:rsidRPr="006A53D3">
              <w:rPr>
                <w:rFonts w:ascii="Arial" w:hAnsi="Arial" w:cs="Arial"/>
                <w:lang w:eastAsia="en-GB"/>
              </w:rPr>
              <w:t>date of termination of service: 30 April 2012</w:t>
            </w:r>
          </w:p>
        </w:tc>
        <w:tc>
          <w:tcPr>
            <w:tcW w:w="144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48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c>
          <w:tcPr>
            <w:tcW w:w="1600" w:type="dxa"/>
            <w:tcBorders>
              <w:top w:val="nil"/>
              <w:left w:val="nil"/>
              <w:bottom w:val="nil"/>
              <w:right w:val="nil"/>
            </w:tcBorders>
            <w:shd w:val="clear" w:color="auto" w:fill="auto"/>
            <w:noWrap/>
            <w:vAlign w:val="bottom"/>
            <w:hideMark/>
          </w:tcPr>
          <w:p w:rsidR="006A53D3" w:rsidRPr="006A53D3" w:rsidRDefault="006A53D3" w:rsidP="006A53D3">
            <w:pPr>
              <w:rPr>
                <w:rFonts w:ascii="Arial" w:hAnsi="Arial" w:cs="Arial"/>
                <w:lang w:eastAsia="en-GB"/>
              </w:rPr>
            </w:pPr>
          </w:p>
        </w:tc>
      </w:tr>
    </w:tbl>
    <w:p w:rsidR="00927551" w:rsidRDefault="00927551">
      <w:pPr>
        <w:rPr>
          <w:rFonts w:ascii="Arial" w:hAnsi="Arial" w:cs="Arial"/>
          <w:sz w:val="22"/>
        </w:rPr>
      </w:pPr>
    </w:p>
    <w:p w:rsidR="00E205A8" w:rsidRDefault="00E205A8">
      <w:pPr>
        <w:rPr>
          <w:rFonts w:ascii="Arial" w:hAnsi="Arial" w:cs="Arial"/>
          <w:bCs/>
          <w:sz w:val="22"/>
        </w:rPr>
        <w:sectPr w:rsidR="00E205A8" w:rsidSect="00762BB3">
          <w:pgSz w:w="16840" w:h="11907" w:orient="landscape" w:code="9"/>
          <w:pgMar w:top="1276" w:right="1440" w:bottom="1531" w:left="1440" w:header="720" w:footer="720" w:gutter="0"/>
          <w:cols w:space="720"/>
        </w:sectPr>
      </w:pPr>
    </w:p>
    <w:p w:rsidR="00F23FFF" w:rsidRDefault="00F23FFF">
      <w:pPr>
        <w:rPr>
          <w:rFonts w:ascii="Arial" w:hAnsi="Arial" w:cs="Arial"/>
          <w:bCs/>
          <w:sz w:val="22"/>
        </w:rPr>
      </w:pPr>
    </w:p>
    <w:p w:rsidR="00F23FFF" w:rsidRDefault="003552BC" w:rsidP="00537746">
      <w:pPr>
        <w:pStyle w:val="xl50"/>
        <w:spacing w:before="0" w:beforeAutospacing="0" w:after="0" w:afterAutospacing="0"/>
        <w:rPr>
          <w:rFonts w:eastAsia="Times New Roman"/>
          <w:bCs w:val="0"/>
          <w:szCs w:val="20"/>
        </w:rPr>
      </w:pPr>
      <w:r>
        <w:rPr>
          <w:rFonts w:eastAsia="Times New Roman"/>
          <w:bCs w:val="0"/>
          <w:szCs w:val="20"/>
        </w:rPr>
        <w:t>2</w:t>
      </w:r>
      <w:r w:rsidR="00672827">
        <w:rPr>
          <w:rFonts w:eastAsia="Times New Roman"/>
          <w:bCs w:val="0"/>
          <w:szCs w:val="20"/>
        </w:rPr>
        <w:t>2</w:t>
      </w:r>
      <w:r>
        <w:rPr>
          <w:rFonts w:eastAsia="Times New Roman"/>
          <w:bCs w:val="0"/>
          <w:szCs w:val="20"/>
        </w:rPr>
        <w:t xml:space="preserve">       External Audit Costs</w:t>
      </w:r>
    </w:p>
    <w:p w:rsidR="00E205A8" w:rsidRPr="00537746" w:rsidRDefault="00E205A8" w:rsidP="00537746">
      <w:pPr>
        <w:pStyle w:val="xl50"/>
        <w:spacing w:before="0" w:beforeAutospacing="0" w:after="0" w:afterAutospacing="0"/>
        <w:rPr>
          <w:rFonts w:eastAsia="Times New Roman"/>
          <w:bCs w:val="0"/>
          <w:szCs w:val="20"/>
        </w:rPr>
      </w:pPr>
    </w:p>
    <w:p w:rsidR="00F23FFF" w:rsidRDefault="00C4729B" w:rsidP="00537746">
      <w:pPr>
        <w:pStyle w:val="BodyTextIndent"/>
        <w:ind w:left="709"/>
        <w:jc w:val="left"/>
        <w:rPr>
          <w:rFonts w:ascii="Arial" w:hAnsi="Arial" w:cs="Arial"/>
          <w:sz w:val="22"/>
        </w:rPr>
      </w:pPr>
      <w:r>
        <w:rPr>
          <w:rFonts w:ascii="Arial" w:hAnsi="Arial" w:cs="Arial"/>
          <w:sz w:val="22"/>
        </w:rPr>
        <w:t>The Council has incurred the following costs in relation to the audit of the Statement of Accounts and certification of grant claims and returns</w:t>
      </w:r>
      <w:r w:rsidR="003552BC">
        <w:rPr>
          <w:rFonts w:ascii="Arial" w:hAnsi="Arial" w:cs="Arial"/>
          <w:sz w:val="22"/>
        </w:rPr>
        <w:t>:</w:t>
      </w:r>
    </w:p>
    <w:p w:rsidR="00F23FFF" w:rsidRDefault="00F23FFF">
      <w:pPr>
        <w:rPr>
          <w:rFonts w:ascii="Arial" w:hAnsi="Arial" w:cs="Arial"/>
          <w:bCs/>
          <w:color w:val="000080"/>
          <w:sz w:val="22"/>
        </w:rPr>
      </w:pPr>
    </w:p>
    <w:tbl>
      <w:tblPr>
        <w:tblW w:w="7380" w:type="dxa"/>
        <w:jc w:val="center"/>
        <w:tblInd w:w="93" w:type="dxa"/>
        <w:tblLook w:val="04A0" w:firstRow="1" w:lastRow="0" w:firstColumn="1" w:lastColumn="0" w:noHBand="0" w:noVBand="1"/>
      </w:tblPr>
      <w:tblGrid>
        <w:gridCol w:w="278"/>
        <w:gridCol w:w="1160"/>
        <w:gridCol w:w="280"/>
        <w:gridCol w:w="4220"/>
        <w:gridCol w:w="278"/>
        <w:gridCol w:w="1160"/>
        <w:gridCol w:w="278"/>
      </w:tblGrid>
      <w:tr w:rsidR="00C92C20" w:rsidRPr="00C92C20" w:rsidTr="00C92C20">
        <w:trPr>
          <w:trHeight w:val="210"/>
          <w:jc w:val="center"/>
        </w:trPr>
        <w:tc>
          <w:tcPr>
            <w:tcW w:w="160" w:type="dxa"/>
            <w:tcBorders>
              <w:top w:val="single" w:sz="4" w:space="0" w:color="auto"/>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single" w:sz="4" w:space="0" w:color="auto"/>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280" w:type="dxa"/>
            <w:tcBorders>
              <w:top w:val="single" w:sz="4" w:space="0" w:color="auto"/>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4220" w:type="dxa"/>
            <w:tcBorders>
              <w:top w:val="single" w:sz="4" w:space="0" w:color="auto"/>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220" w:type="dxa"/>
            <w:tcBorders>
              <w:top w:val="single" w:sz="4" w:space="0" w:color="auto"/>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single" w:sz="4" w:space="0" w:color="auto"/>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80" w:type="dxa"/>
            <w:tcBorders>
              <w:top w:val="single" w:sz="4" w:space="0" w:color="auto"/>
              <w:left w:val="nil"/>
              <w:bottom w:val="nil"/>
              <w:right w:val="single" w:sz="4" w:space="0" w:color="auto"/>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r>
      <w:tr w:rsidR="00C92C20" w:rsidRPr="00C92C20" w:rsidTr="00C92C20">
        <w:trPr>
          <w:trHeight w:val="300"/>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2012-13</w:t>
            </w:r>
          </w:p>
        </w:tc>
        <w:tc>
          <w:tcPr>
            <w:tcW w:w="28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4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b/>
                <w:bCs/>
                <w:sz w:val="22"/>
                <w:szCs w:val="22"/>
                <w:lang w:eastAsia="en-GB"/>
              </w:rPr>
            </w:pPr>
          </w:p>
        </w:tc>
        <w:tc>
          <w:tcPr>
            <w:tcW w:w="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2013-14</w:t>
            </w: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 </w:t>
            </w:r>
          </w:p>
        </w:tc>
      </w:tr>
      <w:tr w:rsidR="00C92C20" w:rsidRPr="00C92C20" w:rsidTr="00C92C20">
        <w:trPr>
          <w:trHeight w:val="315"/>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single" w:sz="8" w:space="0" w:color="auto"/>
              <w:right w:val="nil"/>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w:t>
            </w:r>
          </w:p>
        </w:tc>
        <w:tc>
          <w:tcPr>
            <w:tcW w:w="280" w:type="dxa"/>
            <w:tcBorders>
              <w:top w:val="nil"/>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4220" w:type="dxa"/>
            <w:tcBorders>
              <w:top w:val="nil"/>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220" w:type="dxa"/>
            <w:tcBorders>
              <w:top w:val="nil"/>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single" w:sz="8" w:space="0" w:color="auto"/>
              <w:right w:val="nil"/>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w:t>
            </w: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 </w:t>
            </w:r>
          </w:p>
        </w:tc>
      </w:tr>
      <w:tr w:rsidR="00C92C20" w:rsidRPr="00C92C20" w:rsidTr="00C92C20">
        <w:trPr>
          <w:trHeight w:val="300"/>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p>
        </w:tc>
        <w:tc>
          <w:tcPr>
            <w:tcW w:w="28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4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jc w:val="center"/>
              <w:rPr>
                <w:rFonts w:ascii="Arial" w:hAnsi="Arial" w:cs="Arial"/>
                <w:b/>
                <w:bCs/>
                <w:sz w:val="22"/>
                <w:szCs w:val="22"/>
                <w:lang w:eastAsia="en-GB"/>
              </w:rPr>
            </w:pPr>
            <w:r w:rsidRPr="00C92C20">
              <w:rPr>
                <w:rFonts w:ascii="Arial" w:hAnsi="Arial" w:cs="Arial"/>
                <w:b/>
                <w:bCs/>
                <w:sz w:val="22"/>
                <w:szCs w:val="22"/>
                <w:lang w:eastAsia="en-GB"/>
              </w:rPr>
              <w:t> </w:t>
            </w:r>
          </w:p>
        </w:tc>
      </w:tr>
      <w:tr w:rsidR="00C92C20" w:rsidRPr="00C92C20" w:rsidTr="00C92C20">
        <w:trPr>
          <w:trHeight w:val="375"/>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right"/>
              <w:rPr>
                <w:rFonts w:ascii="Arial" w:hAnsi="Arial" w:cs="Arial"/>
                <w:sz w:val="22"/>
                <w:szCs w:val="22"/>
                <w:lang w:eastAsia="en-GB"/>
              </w:rPr>
            </w:pPr>
            <w:r w:rsidRPr="00C92C20">
              <w:rPr>
                <w:rFonts w:ascii="Arial" w:hAnsi="Arial" w:cs="Arial"/>
                <w:sz w:val="22"/>
                <w:szCs w:val="22"/>
                <w:lang w:eastAsia="en-GB"/>
              </w:rPr>
              <w:t xml:space="preserve">68,400 </w:t>
            </w:r>
          </w:p>
        </w:tc>
        <w:tc>
          <w:tcPr>
            <w:tcW w:w="28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4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Auditing Fee</w:t>
            </w:r>
          </w:p>
        </w:tc>
        <w:tc>
          <w:tcPr>
            <w:tcW w:w="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right"/>
              <w:rPr>
                <w:rFonts w:ascii="Arial" w:hAnsi="Arial" w:cs="Arial"/>
                <w:sz w:val="22"/>
                <w:szCs w:val="22"/>
                <w:lang w:eastAsia="en-GB"/>
              </w:rPr>
            </w:pPr>
            <w:r w:rsidRPr="00C92C20">
              <w:rPr>
                <w:rFonts w:ascii="Arial" w:hAnsi="Arial" w:cs="Arial"/>
                <w:sz w:val="22"/>
                <w:szCs w:val="22"/>
                <w:lang w:eastAsia="en-GB"/>
              </w:rPr>
              <w:t xml:space="preserve">68,400 </w:t>
            </w: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r>
      <w:tr w:rsidR="00C92C20" w:rsidRPr="00C92C20" w:rsidTr="00C92C20">
        <w:trPr>
          <w:trHeight w:val="390"/>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right"/>
              <w:rPr>
                <w:rFonts w:ascii="Arial" w:hAnsi="Arial" w:cs="Arial"/>
                <w:sz w:val="22"/>
                <w:szCs w:val="22"/>
                <w:lang w:eastAsia="en-GB"/>
              </w:rPr>
            </w:pPr>
            <w:r w:rsidRPr="00C92C20">
              <w:rPr>
                <w:rFonts w:ascii="Arial" w:hAnsi="Arial" w:cs="Arial"/>
                <w:sz w:val="22"/>
                <w:szCs w:val="22"/>
                <w:lang w:eastAsia="en-GB"/>
              </w:rPr>
              <w:t xml:space="preserve">16,150 </w:t>
            </w:r>
          </w:p>
        </w:tc>
        <w:tc>
          <w:tcPr>
            <w:tcW w:w="28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4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Certifying grant claims and returns</w:t>
            </w:r>
          </w:p>
        </w:tc>
        <w:tc>
          <w:tcPr>
            <w:tcW w:w="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1160" w:type="dxa"/>
            <w:tcBorders>
              <w:top w:val="nil"/>
              <w:left w:val="nil"/>
              <w:bottom w:val="nil"/>
              <w:right w:val="nil"/>
            </w:tcBorders>
            <w:shd w:val="clear" w:color="auto" w:fill="auto"/>
            <w:noWrap/>
            <w:vAlign w:val="bottom"/>
            <w:hideMark/>
          </w:tcPr>
          <w:p w:rsidR="00C92C20" w:rsidRPr="00C92C20" w:rsidRDefault="00C92C20" w:rsidP="00C92C20">
            <w:pPr>
              <w:jc w:val="right"/>
              <w:rPr>
                <w:rFonts w:ascii="Arial" w:hAnsi="Arial" w:cs="Arial"/>
                <w:sz w:val="22"/>
                <w:szCs w:val="22"/>
                <w:lang w:eastAsia="en-GB"/>
              </w:rPr>
            </w:pPr>
            <w:r w:rsidRPr="00C92C20">
              <w:rPr>
                <w:rFonts w:ascii="Arial" w:hAnsi="Arial" w:cs="Arial"/>
                <w:sz w:val="22"/>
                <w:szCs w:val="22"/>
                <w:lang w:eastAsia="en-GB"/>
              </w:rPr>
              <w:t xml:space="preserve">15,600 </w:t>
            </w: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r>
      <w:tr w:rsidR="00C92C20" w:rsidRPr="00C92C20" w:rsidTr="00C92C20">
        <w:trPr>
          <w:trHeight w:val="270"/>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28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4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220" w:type="dxa"/>
            <w:tcBorders>
              <w:top w:val="nil"/>
              <w:left w:val="nil"/>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p>
        </w:tc>
        <w:tc>
          <w:tcPr>
            <w:tcW w:w="1160" w:type="dxa"/>
            <w:tcBorders>
              <w:top w:val="nil"/>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r>
      <w:tr w:rsidR="00C92C20" w:rsidRPr="00C92C20" w:rsidTr="00C92C20">
        <w:trPr>
          <w:trHeight w:val="435"/>
          <w:jc w:val="center"/>
        </w:trPr>
        <w:tc>
          <w:tcPr>
            <w:tcW w:w="160" w:type="dxa"/>
            <w:tcBorders>
              <w:top w:val="nil"/>
              <w:left w:val="single" w:sz="4" w:space="0" w:color="auto"/>
              <w:bottom w:val="nil"/>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single" w:sz="8" w:space="0" w:color="auto"/>
              <w:right w:val="nil"/>
            </w:tcBorders>
            <w:shd w:val="clear" w:color="auto" w:fill="auto"/>
            <w:noWrap/>
            <w:vAlign w:val="bottom"/>
            <w:hideMark/>
          </w:tcPr>
          <w:p w:rsidR="00C92C20" w:rsidRPr="00C92C20" w:rsidRDefault="00C92C20" w:rsidP="00C92C20">
            <w:pPr>
              <w:jc w:val="right"/>
              <w:rPr>
                <w:rFonts w:ascii="Arial" w:hAnsi="Arial" w:cs="Arial"/>
                <w:b/>
                <w:bCs/>
                <w:sz w:val="22"/>
                <w:szCs w:val="22"/>
                <w:lang w:eastAsia="en-GB"/>
              </w:rPr>
            </w:pPr>
            <w:r w:rsidRPr="00C92C20">
              <w:rPr>
                <w:rFonts w:ascii="Arial" w:hAnsi="Arial" w:cs="Arial"/>
                <w:b/>
                <w:bCs/>
                <w:sz w:val="22"/>
                <w:szCs w:val="22"/>
                <w:lang w:eastAsia="en-GB"/>
              </w:rPr>
              <w:t xml:space="preserve">84,550 </w:t>
            </w:r>
          </w:p>
        </w:tc>
        <w:tc>
          <w:tcPr>
            <w:tcW w:w="280" w:type="dxa"/>
            <w:tcBorders>
              <w:top w:val="single" w:sz="8" w:space="0" w:color="auto"/>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b/>
                <w:bCs/>
                <w:sz w:val="22"/>
                <w:szCs w:val="22"/>
                <w:lang w:eastAsia="en-GB"/>
              </w:rPr>
            </w:pPr>
            <w:r w:rsidRPr="00C92C20">
              <w:rPr>
                <w:rFonts w:ascii="Arial" w:hAnsi="Arial" w:cs="Arial"/>
                <w:b/>
                <w:bCs/>
                <w:sz w:val="22"/>
                <w:szCs w:val="22"/>
                <w:lang w:eastAsia="en-GB"/>
              </w:rPr>
              <w:t> </w:t>
            </w:r>
          </w:p>
        </w:tc>
        <w:tc>
          <w:tcPr>
            <w:tcW w:w="4220" w:type="dxa"/>
            <w:tcBorders>
              <w:top w:val="single" w:sz="8" w:space="0" w:color="auto"/>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b/>
                <w:bCs/>
                <w:sz w:val="22"/>
                <w:szCs w:val="22"/>
                <w:lang w:eastAsia="en-GB"/>
              </w:rPr>
            </w:pPr>
            <w:r w:rsidRPr="00C92C20">
              <w:rPr>
                <w:rFonts w:ascii="Arial" w:hAnsi="Arial" w:cs="Arial"/>
                <w:b/>
                <w:bCs/>
                <w:sz w:val="22"/>
                <w:szCs w:val="22"/>
                <w:lang w:eastAsia="en-GB"/>
              </w:rPr>
              <w:t> </w:t>
            </w:r>
          </w:p>
        </w:tc>
        <w:tc>
          <w:tcPr>
            <w:tcW w:w="220" w:type="dxa"/>
            <w:tcBorders>
              <w:top w:val="single" w:sz="8" w:space="0" w:color="auto"/>
              <w:left w:val="nil"/>
              <w:bottom w:val="single" w:sz="8" w:space="0" w:color="auto"/>
              <w:right w:val="nil"/>
            </w:tcBorders>
            <w:shd w:val="clear" w:color="auto" w:fill="auto"/>
            <w:noWrap/>
            <w:vAlign w:val="bottom"/>
            <w:hideMark/>
          </w:tcPr>
          <w:p w:rsidR="00C92C20" w:rsidRPr="00C92C20" w:rsidRDefault="00C92C20" w:rsidP="00C92C20">
            <w:pPr>
              <w:rPr>
                <w:rFonts w:ascii="Arial" w:hAnsi="Arial" w:cs="Arial"/>
                <w:b/>
                <w:bCs/>
                <w:sz w:val="22"/>
                <w:szCs w:val="22"/>
                <w:lang w:eastAsia="en-GB"/>
              </w:rPr>
            </w:pPr>
            <w:r w:rsidRPr="00C92C20">
              <w:rPr>
                <w:rFonts w:ascii="Arial" w:hAnsi="Arial" w:cs="Arial"/>
                <w:b/>
                <w:bCs/>
                <w:sz w:val="22"/>
                <w:szCs w:val="22"/>
                <w:lang w:eastAsia="en-GB"/>
              </w:rPr>
              <w:t> </w:t>
            </w:r>
          </w:p>
        </w:tc>
        <w:tc>
          <w:tcPr>
            <w:tcW w:w="1160" w:type="dxa"/>
            <w:tcBorders>
              <w:top w:val="nil"/>
              <w:left w:val="nil"/>
              <w:bottom w:val="single" w:sz="8" w:space="0" w:color="auto"/>
              <w:right w:val="nil"/>
            </w:tcBorders>
            <w:shd w:val="clear" w:color="auto" w:fill="auto"/>
            <w:noWrap/>
            <w:vAlign w:val="bottom"/>
            <w:hideMark/>
          </w:tcPr>
          <w:p w:rsidR="00C92C20" w:rsidRPr="00C92C20" w:rsidRDefault="00C92C20" w:rsidP="00C92C20">
            <w:pPr>
              <w:jc w:val="right"/>
              <w:rPr>
                <w:rFonts w:ascii="Arial" w:hAnsi="Arial" w:cs="Arial"/>
                <w:b/>
                <w:bCs/>
                <w:sz w:val="22"/>
                <w:szCs w:val="22"/>
                <w:lang w:eastAsia="en-GB"/>
              </w:rPr>
            </w:pPr>
            <w:r w:rsidRPr="00C92C20">
              <w:rPr>
                <w:rFonts w:ascii="Arial" w:hAnsi="Arial" w:cs="Arial"/>
                <w:b/>
                <w:bCs/>
                <w:sz w:val="22"/>
                <w:szCs w:val="22"/>
                <w:lang w:eastAsia="en-GB"/>
              </w:rPr>
              <w:t xml:space="preserve">84,000 </w:t>
            </w:r>
          </w:p>
        </w:tc>
        <w:tc>
          <w:tcPr>
            <w:tcW w:w="180" w:type="dxa"/>
            <w:tcBorders>
              <w:top w:val="nil"/>
              <w:left w:val="nil"/>
              <w:bottom w:val="nil"/>
              <w:right w:val="single" w:sz="4" w:space="0" w:color="auto"/>
            </w:tcBorders>
            <w:shd w:val="clear" w:color="auto" w:fill="auto"/>
            <w:noWrap/>
            <w:vAlign w:val="bottom"/>
            <w:hideMark/>
          </w:tcPr>
          <w:p w:rsidR="00C92C20" w:rsidRPr="00C92C20" w:rsidRDefault="00C92C20" w:rsidP="00C92C20">
            <w:pPr>
              <w:rPr>
                <w:rFonts w:ascii="Arial" w:hAnsi="Arial" w:cs="Arial"/>
                <w:b/>
                <w:bCs/>
                <w:sz w:val="22"/>
                <w:szCs w:val="22"/>
                <w:lang w:eastAsia="en-GB"/>
              </w:rPr>
            </w:pPr>
            <w:r w:rsidRPr="00C92C20">
              <w:rPr>
                <w:rFonts w:ascii="Arial" w:hAnsi="Arial" w:cs="Arial"/>
                <w:b/>
                <w:bCs/>
                <w:sz w:val="22"/>
                <w:szCs w:val="22"/>
                <w:lang w:eastAsia="en-GB"/>
              </w:rPr>
              <w:t> </w:t>
            </w:r>
          </w:p>
        </w:tc>
      </w:tr>
      <w:tr w:rsidR="00C92C20" w:rsidRPr="00C92C20" w:rsidTr="00C92C20">
        <w:trPr>
          <w:trHeight w:val="195"/>
          <w:jc w:val="center"/>
        </w:trPr>
        <w:tc>
          <w:tcPr>
            <w:tcW w:w="160" w:type="dxa"/>
            <w:tcBorders>
              <w:top w:val="nil"/>
              <w:left w:val="single" w:sz="4" w:space="0" w:color="auto"/>
              <w:bottom w:val="single" w:sz="4"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single" w:sz="4"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280" w:type="dxa"/>
            <w:tcBorders>
              <w:top w:val="nil"/>
              <w:left w:val="nil"/>
              <w:bottom w:val="single" w:sz="4"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4220" w:type="dxa"/>
            <w:tcBorders>
              <w:top w:val="nil"/>
              <w:left w:val="nil"/>
              <w:bottom w:val="single" w:sz="4"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220" w:type="dxa"/>
            <w:tcBorders>
              <w:top w:val="nil"/>
              <w:left w:val="nil"/>
              <w:bottom w:val="single" w:sz="4"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160" w:type="dxa"/>
            <w:tcBorders>
              <w:top w:val="nil"/>
              <w:left w:val="nil"/>
              <w:bottom w:val="single" w:sz="4" w:space="0" w:color="auto"/>
              <w:right w:val="nil"/>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c>
          <w:tcPr>
            <w:tcW w:w="180" w:type="dxa"/>
            <w:tcBorders>
              <w:top w:val="nil"/>
              <w:left w:val="nil"/>
              <w:bottom w:val="single" w:sz="4" w:space="0" w:color="auto"/>
              <w:right w:val="single" w:sz="4" w:space="0" w:color="auto"/>
            </w:tcBorders>
            <w:shd w:val="clear" w:color="auto" w:fill="auto"/>
            <w:noWrap/>
            <w:vAlign w:val="bottom"/>
            <w:hideMark/>
          </w:tcPr>
          <w:p w:rsidR="00C92C20" w:rsidRPr="00C92C20" w:rsidRDefault="00C92C20" w:rsidP="00C92C20">
            <w:pPr>
              <w:rPr>
                <w:rFonts w:ascii="Arial" w:hAnsi="Arial" w:cs="Arial"/>
                <w:sz w:val="22"/>
                <w:szCs w:val="22"/>
                <w:lang w:eastAsia="en-GB"/>
              </w:rPr>
            </w:pPr>
            <w:r w:rsidRPr="00C92C20">
              <w:rPr>
                <w:rFonts w:ascii="Arial" w:hAnsi="Arial" w:cs="Arial"/>
                <w:sz w:val="22"/>
                <w:szCs w:val="22"/>
                <w:lang w:eastAsia="en-GB"/>
              </w:rPr>
              <w:t> </w:t>
            </w:r>
          </w:p>
        </w:tc>
      </w:tr>
    </w:tbl>
    <w:p w:rsidR="004166E2" w:rsidRDefault="004166E2">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DE53B3" w:rsidRDefault="00DE53B3">
      <w:pPr>
        <w:rPr>
          <w:rFonts w:ascii="Arial" w:hAnsi="Arial" w:cs="Arial"/>
          <w:bCs/>
          <w:color w:val="000080"/>
          <w:sz w:val="22"/>
        </w:rPr>
      </w:pPr>
    </w:p>
    <w:p w:rsidR="00F23FFF" w:rsidRDefault="00F23FFF">
      <w:pPr>
        <w:rPr>
          <w:rFonts w:ascii="Arial" w:hAnsi="Arial" w:cs="Arial"/>
          <w:bCs/>
          <w:color w:val="000080"/>
          <w:sz w:val="22"/>
        </w:rPr>
      </w:pPr>
    </w:p>
    <w:p w:rsidR="00F23FFF" w:rsidRDefault="003552BC">
      <w:pPr>
        <w:pStyle w:val="xl25"/>
        <w:tabs>
          <w:tab w:val="left" w:pos="0"/>
        </w:tabs>
        <w:spacing w:before="0" w:beforeAutospacing="0" w:after="0" w:afterAutospacing="0"/>
        <w:rPr>
          <w:bCs w:val="0"/>
          <w:szCs w:val="20"/>
        </w:rPr>
      </w:pPr>
      <w:r>
        <w:rPr>
          <w:bCs w:val="0"/>
          <w:color w:val="000080"/>
          <w:szCs w:val="20"/>
        </w:rPr>
        <w:lastRenderedPageBreak/>
        <w:t>2</w:t>
      </w:r>
      <w:r w:rsidR="00672827">
        <w:rPr>
          <w:bCs w:val="0"/>
          <w:color w:val="000080"/>
          <w:szCs w:val="20"/>
        </w:rPr>
        <w:t>3</w:t>
      </w:r>
      <w:r>
        <w:rPr>
          <w:bCs w:val="0"/>
          <w:color w:val="000080"/>
          <w:szCs w:val="20"/>
        </w:rPr>
        <w:t xml:space="preserve">    Defined Benefit Pension Scheme</w:t>
      </w:r>
    </w:p>
    <w:p w:rsidR="00F23FFF" w:rsidRDefault="00F23FFF">
      <w:pPr>
        <w:rPr>
          <w:rFonts w:ascii="Arial" w:hAnsi="Arial" w:cs="Arial"/>
          <w:bCs/>
          <w:sz w:val="22"/>
        </w:rPr>
      </w:pPr>
    </w:p>
    <w:p w:rsidR="0080076D" w:rsidRDefault="0080076D" w:rsidP="0080076D">
      <w:pPr>
        <w:ind w:left="567"/>
        <w:rPr>
          <w:rFonts w:ascii="Arial" w:hAnsi="Arial" w:cs="Arial"/>
          <w:sz w:val="22"/>
        </w:rPr>
      </w:pPr>
      <w:r>
        <w:rPr>
          <w:rFonts w:ascii="Arial" w:hAnsi="Arial" w:cs="Arial"/>
          <w:sz w:val="22"/>
        </w:rPr>
        <w:t>The Council participates in the national Local Government Pension Scheme which is a funded defined benefit (final salary) scheme and which also provide historic unfunded discretionary benefits, both of which are administered by Cambridgeshire County Council. With the funded scheme, the Council (the employer) and employees both pay contributions into the pension fund with the employer’s contribution calculated every three years at a level intended to balance the scheme assets and liabilities over a twenty year period.</w:t>
      </w:r>
    </w:p>
    <w:p w:rsidR="0080076D" w:rsidRDefault="0080076D" w:rsidP="0080076D">
      <w:pPr>
        <w:ind w:left="567"/>
        <w:rPr>
          <w:rFonts w:ascii="Arial" w:hAnsi="Arial" w:cs="Arial"/>
          <w:sz w:val="22"/>
        </w:rPr>
      </w:pPr>
    </w:p>
    <w:p w:rsidR="0080076D" w:rsidRDefault="0080076D" w:rsidP="0080076D">
      <w:pPr>
        <w:ind w:firstLine="284"/>
        <w:rPr>
          <w:rFonts w:ascii="Arial" w:hAnsi="Arial" w:cs="Arial"/>
          <w:sz w:val="22"/>
        </w:rPr>
      </w:pPr>
    </w:p>
    <w:p w:rsidR="00F23FFF" w:rsidRPr="004847F9" w:rsidRDefault="004847F9" w:rsidP="00614E91">
      <w:pPr>
        <w:ind w:left="567"/>
        <w:rPr>
          <w:rFonts w:ascii="Arial" w:hAnsi="Arial" w:cs="Arial"/>
          <w:color w:val="0033CC"/>
          <w:sz w:val="22"/>
        </w:rPr>
      </w:pPr>
      <w:r w:rsidRPr="004847F9">
        <w:rPr>
          <w:rFonts w:ascii="Arial" w:hAnsi="Arial" w:cs="Arial"/>
          <w:color w:val="0033CC"/>
          <w:sz w:val="22"/>
        </w:rPr>
        <w:t xml:space="preserve">Transactions </w:t>
      </w:r>
      <w:r w:rsidR="00614E91">
        <w:rPr>
          <w:rFonts w:ascii="Arial" w:hAnsi="Arial" w:cs="Arial"/>
          <w:color w:val="0033CC"/>
          <w:sz w:val="22"/>
        </w:rPr>
        <w:t>R</w:t>
      </w:r>
      <w:r w:rsidRPr="004847F9">
        <w:rPr>
          <w:rFonts w:ascii="Arial" w:hAnsi="Arial" w:cs="Arial"/>
          <w:color w:val="0033CC"/>
          <w:sz w:val="22"/>
        </w:rPr>
        <w:t xml:space="preserve">elating to </w:t>
      </w:r>
      <w:r w:rsidR="00614E91">
        <w:rPr>
          <w:rFonts w:ascii="Arial" w:hAnsi="Arial" w:cs="Arial"/>
          <w:color w:val="0033CC"/>
          <w:sz w:val="22"/>
        </w:rPr>
        <w:t>P</w:t>
      </w:r>
      <w:r w:rsidRPr="004847F9">
        <w:rPr>
          <w:rFonts w:ascii="Arial" w:hAnsi="Arial" w:cs="Arial"/>
          <w:color w:val="0033CC"/>
          <w:sz w:val="22"/>
        </w:rPr>
        <w:t>ost-</w:t>
      </w:r>
      <w:r w:rsidR="00614E91">
        <w:rPr>
          <w:rFonts w:ascii="Arial" w:hAnsi="Arial" w:cs="Arial"/>
          <w:color w:val="0033CC"/>
          <w:sz w:val="22"/>
        </w:rPr>
        <w:t>E</w:t>
      </w:r>
      <w:r w:rsidRPr="004847F9">
        <w:rPr>
          <w:rFonts w:ascii="Arial" w:hAnsi="Arial" w:cs="Arial"/>
          <w:color w:val="0033CC"/>
          <w:sz w:val="22"/>
        </w:rPr>
        <w:t xml:space="preserve">mployment </w:t>
      </w:r>
      <w:r w:rsidR="00614E91">
        <w:rPr>
          <w:rFonts w:ascii="Arial" w:hAnsi="Arial" w:cs="Arial"/>
          <w:color w:val="0033CC"/>
          <w:sz w:val="22"/>
        </w:rPr>
        <w:t>B</w:t>
      </w:r>
      <w:r w:rsidRPr="004847F9">
        <w:rPr>
          <w:rFonts w:ascii="Arial" w:hAnsi="Arial" w:cs="Arial"/>
          <w:color w:val="0033CC"/>
          <w:sz w:val="22"/>
        </w:rPr>
        <w:t>enefits:</w:t>
      </w:r>
    </w:p>
    <w:p w:rsidR="00664BB1" w:rsidRDefault="00664BB1" w:rsidP="00664BB1">
      <w:pPr>
        <w:ind w:firstLine="284"/>
        <w:rPr>
          <w:rFonts w:ascii="Arial" w:hAnsi="Arial" w:cs="Arial"/>
          <w:sz w:val="22"/>
        </w:rPr>
      </w:pPr>
    </w:p>
    <w:p w:rsidR="00614E91" w:rsidRDefault="00614E91" w:rsidP="00614E91">
      <w:pPr>
        <w:ind w:left="567"/>
        <w:rPr>
          <w:rFonts w:ascii="Arial" w:hAnsi="Arial" w:cs="Arial"/>
          <w:sz w:val="22"/>
        </w:rPr>
      </w:pPr>
      <w:r>
        <w:rPr>
          <w:rFonts w:ascii="Arial" w:hAnsi="Arial" w:cs="Arial"/>
          <w:sz w:val="22"/>
        </w:rPr>
        <w:t xml:space="preserve">The cost of retirement benefits is recognised in the reported cost of services when they are earned by employees, rather than when the benefits are eventually paid as pensions. However, the charge the Council is required to make against council tax is based on the cash payable in the year, so the real cost of post-employment benefits is reversed out of the General Fund and Housing Revenue Account via the Movement in Reserves Statement. </w:t>
      </w:r>
    </w:p>
    <w:p w:rsidR="00614E91" w:rsidRDefault="00614E91" w:rsidP="00614E91">
      <w:pPr>
        <w:ind w:left="567"/>
        <w:rPr>
          <w:rFonts w:ascii="Arial" w:hAnsi="Arial" w:cs="Arial"/>
          <w:sz w:val="22"/>
        </w:rPr>
      </w:pPr>
    </w:p>
    <w:p w:rsidR="00614E91" w:rsidRDefault="00614E91" w:rsidP="00614E91">
      <w:pPr>
        <w:ind w:left="567"/>
        <w:rPr>
          <w:rFonts w:ascii="Arial" w:hAnsi="Arial" w:cs="Arial"/>
          <w:sz w:val="22"/>
        </w:rPr>
      </w:pPr>
      <w:r>
        <w:rPr>
          <w:rFonts w:ascii="Arial" w:hAnsi="Arial" w:cs="Arial"/>
          <w:sz w:val="22"/>
        </w:rPr>
        <w:t>The following transactions have been made in the Comprehensive Income and Expenditure Statement and the General Fund Balance via the Movement in Reserves Statement during the year:</w:t>
      </w:r>
    </w:p>
    <w:p w:rsidR="00DE53B3" w:rsidRDefault="00DE53B3" w:rsidP="00614E91">
      <w:pPr>
        <w:ind w:left="567"/>
        <w:rPr>
          <w:rFonts w:ascii="Arial" w:hAnsi="Arial" w:cs="Arial"/>
          <w:sz w:val="22"/>
        </w:rPr>
      </w:pPr>
    </w:p>
    <w:p w:rsidR="00DE53B3" w:rsidRDefault="00DE53B3" w:rsidP="00614E91">
      <w:pPr>
        <w:ind w:left="567"/>
        <w:rPr>
          <w:rFonts w:ascii="Arial" w:hAnsi="Arial" w:cs="Arial"/>
          <w:sz w:val="22"/>
        </w:rPr>
      </w:pPr>
    </w:p>
    <w:p w:rsidR="00DE53B3" w:rsidRDefault="00DE53B3" w:rsidP="00614E91">
      <w:pPr>
        <w:ind w:left="567"/>
        <w:rPr>
          <w:rFonts w:ascii="Arial" w:hAnsi="Arial" w:cs="Arial"/>
          <w:sz w:val="22"/>
        </w:rPr>
      </w:pPr>
    </w:p>
    <w:p w:rsidR="00DE53B3" w:rsidRDefault="00DE53B3" w:rsidP="00614E91">
      <w:pPr>
        <w:ind w:left="567"/>
        <w:rPr>
          <w:rFonts w:ascii="Arial" w:hAnsi="Arial" w:cs="Arial"/>
          <w:sz w:val="22"/>
        </w:rPr>
      </w:pPr>
    </w:p>
    <w:p w:rsidR="00F23FFF" w:rsidRDefault="00E360DF" w:rsidP="004847F9">
      <w:pPr>
        <w:jc w:val="center"/>
        <w:rPr>
          <w:rFonts w:ascii="Arial" w:hAnsi="Arial" w:cs="Arial"/>
          <w:bCs/>
          <w:sz w:val="22"/>
        </w:rPr>
      </w:pPr>
      <w:r w:rsidRPr="00E360DF">
        <w:rPr>
          <w:noProof/>
          <w:lang w:eastAsia="en-GB"/>
        </w:rPr>
        <w:drawing>
          <wp:inline distT="0" distB="0" distL="0" distR="0" wp14:anchorId="62EFB175" wp14:editId="2077B75D">
            <wp:extent cx="6122119" cy="2514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6603" cy="2516442"/>
                    </a:xfrm>
                    <a:prstGeom prst="rect">
                      <a:avLst/>
                    </a:prstGeom>
                    <a:noFill/>
                    <a:ln>
                      <a:noFill/>
                    </a:ln>
                  </pic:spPr>
                </pic:pic>
              </a:graphicData>
            </a:graphic>
          </wp:inline>
        </w:drawing>
      </w:r>
    </w:p>
    <w:p w:rsidR="00E360DF" w:rsidRDefault="00E360DF" w:rsidP="004847F9">
      <w:pPr>
        <w:jc w:val="center"/>
        <w:rPr>
          <w:rFonts w:ascii="Arial" w:hAnsi="Arial" w:cs="Arial"/>
          <w:bCs/>
          <w:sz w:val="22"/>
        </w:rPr>
      </w:pPr>
    </w:p>
    <w:p w:rsidR="00E360DF" w:rsidRDefault="00E360DF"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DE53B3" w:rsidRDefault="00DE53B3" w:rsidP="004847F9">
      <w:pPr>
        <w:jc w:val="center"/>
        <w:rPr>
          <w:rFonts w:ascii="Arial" w:hAnsi="Arial" w:cs="Arial"/>
          <w:bCs/>
          <w:sz w:val="22"/>
        </w:rPr>
      </w:pPr>
    </w:p>
    <w:p w:rsidR="00851042" w:rsidRDefault="004847F9" w:rsidP="004847F9">
      <w:pPr>
        <w:jc w:val="center"/>
        <w:rPr>
          <w:rFonts w:ascii="Arial" w:hAnsi="Arial" w:cs="Arial"/>
          <w:b/>
          <w:bCs/>
          <w:sz w:val="22"/>
        </w:rPr>
      </w:pPr>
      <w:r w:rsidRPr="004847F9">
        <w:rPr>
          <w:noProof/>
          <w:lang w:eastAsia="en-GB"/>
        </w:rPr>
        <w:drawing>
          <wp:inline distT="0" distB="0" distL="0" distR="0" wp14:anchorId="232D4060" wp14:editId="1A0B5DC5">
            <wp:extent cx="6120295" cy="3162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9272" cy="3166938"/>
                    </a:xfrm>
                    <a:prstGeom prst="rect">
                      <a:avLst/>
                    </a:prstGeom>
                    <a:noFill/>
                    <a:ln>
                      <a:noFill/>
                    </a:ln>
                  </pic:spPr>
                </pic:pic>
              </a:graphicData>
            </a:graphic>
          </wp:inline>
        </w:drawing>
      </w:r>
    </w:p>
    <w:p w:rsidR="002D788F" w:rsidRDefault="002D788F">
      <w:pPr>
        <w:rPr>
          <w:rFonts w:ascii="Arial" w:hAnsi="Arial" w:cs="Arial"/>
          <w:bCs/>
          <w:sz w:val="22"/>
        </w:rPr>
      </w:pPr>
    </w:p>
    <w:p w:rsidR="002D788F" w:rsidRDefault="002D788F">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2D788F" w:rsidRDefault="002D788F">
      <w:pPr>
        <w:rPr>
          <w:rFonts w:ascii="Arial" w:hAnsi="Arial" w:cs="Arial"/>
          <w:bCs/>
          <w:sz w:val="22"/>
        </w:rPr>
      </w:pPr>
    </w:p>
    <w:p w:rsidR="00CC6AF2" w:rsidRDefault="000720FF" w:rsidP="004847F9">
      <w:pPr>
        <w:jc w:val="center"/>
        <w:rPr>
          <w:rFonts w:ascii="Arial" w:hAnsi="Arial" w:cs="Arial"/>
          <w:bCs/>
          <w:sz w:val="22"/>
        </w:rPr>
      </w:pPr>
      <w:r w:rsidRPr="004847F9">
        <w:rPr>
          <w:noProof/>
          <w:lang w:eastAsia="en-GB"/>
        </w:rPr>
        <w:drawing>
          <wp:inline distT="0" distB="0" distL="0" distR="0" wp14:anchorId="0B7E2478" wp14:editId="0149BD74">
            <wp:extent cx="6235845" cy="2362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2421" cy="2360903"/>
                    </a:xfrm>
                    <a:prstGeom prst="rect">
                      <a:avLst/>
                    </a:prstGeom>
                    <a:noFill/>
                    <a:ln>
                      <a:noFill/>
                    </a:ln>
                  </pic:spPr>
                </pic:pic>
              </a:graphicData>
            </a:graphic>
          </wp:inline>
        </w:drawing>
      </w:r>
    </w:p>
    <w:p w:rsidR="002D788F" w:rsidRDefault="002D788F">
      <w:pPr>
        <w:rPr>
          <w:rFonts w:ascii="Arial" w:hAnsi="Arial" w:cs="Arial"/>
          <w:bCs/>
          <w:sz w:val="22"/>
        </w:rPr>
      </w:pPr>
    </w:p>
    <w:p w:rsidR="00F23FFF" w:rsidRDefault="00F23FFF">
      <w:pPr>
        <w:pStyle w:val="xl65"/>
        <w:spacing w:before="0" w:beforeAutospacing="0" w:after="0" w:afterAutospacing="0"/>
        <w:rPr>
          <w:rFonts w:eastAsia="Times New Roman"/>
          <w:bCs/>
          <w:szCs w:val="20"/>
        </w:rPr>
      </w:pPr>
    </w:p>
    <w:p w:rsidR="00F23FFF" w:rsidRDefault="00F23FFF">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DE53B3" w:rsidRDefault="00DE53B3">
      <w:pPr>
        <w:rPr>
          <w:rFonts w:ascii="Arial" w:hAnsi="Arial" w:cs="Arial"/>
          <w:bCs/>
          <w:sz w:val="22"/>
        </w:rPr>
      </w:pPr>
    </w:p>
    <w:p w:rsidR="00614E91" w:rsidRDefault="00614E91">
      <w:pPr>
        <w:rPr>
          <w:rFonts w:ascii="Arial" w:hAnsi="Arial" w:cs="Arial"/>
          <w:bCs/>
          <w:sz w:val="22"/>
        </w:rPr>
      </w:pPr>
    </w:p>
    <w:p w:rsidR="00614E91" w:rsidRPr="00614E91" w:rsidRDefault="00614E91" w:rsidP="00E360DF">
      <w:pPr>
        <w:ind w:left="567"/>
        <w:rPr>
          <w:rFonts w:ascii="Arial" w:hAnsi="Arial" w:cs="Arial"/>
          <w:bCs/>
          <w:color w:val="0033CC"/>
          <w:sz w:val="22"/>
        </w:rPr>
      </w:pPr>
      <w:r w:rsidRPr="00614E91">
        <w:rPr>
          <w:rFonts w:ascii="Arial" w:hAnsi="Arial" w:cs="Arial"/>
          <w:bCs/>
          <w:color w:val="0033CC"/>
          <w:sz w:val="22"/>
        </w:rPr>
        <w:lastRenderedPageBreak/>
        <w:t>Pensions Assets and Liabilities Recognised in the Balance Sheet</w:t>
      </w:r>
    </w:p>
    <w:p w:rsidR="001253D0" w:rsidRDefault="001253D0" w:rsidP="00E360DF">
      <w:pPr>
        <w:ind w:left="567"/>
        <w:rPr>
          <w:rFonts w:ascii="Arial" w:hAnsi="Arial" w:cs="Arial"/>
          <w:bCs/>
          <w:sz w:val="22"/>
        </w:rPr>
      </w:pPr>
    </w:p>
    <w:p w:rsidR="0019422B" w:rsidRDefault="00614E91" w:rsidP="00E360DF">
      <w:pPr>
        <w:ind w:left="567"/>
        <w:rPr>
          <w:rFonts w:ascii="Arial" w:hAnsi="Arial" w:cs="Arial"/>
          <w:sz w:val="22"/>
        </w:rPr>
      </w:pPr>
      <w:r>
        <w:rPr>
          <w:rFonts w:ascii="Arial" w:hAnsi="Arial" w:cs="Arial"/>
          <w:sz w:val="22"/>
        </w:rPr>
        <w:t>The amount included in the Balance Sheet arising from the Council’s obligation in respect of its defined benefit plan is as follows:</w:t>
      </w:r>
    </w:p>
    <w:p w:rsidR="00614E91" w:rsidRDefault="00614E91">
      <w:pPr>
        <w:rPr>
          <w:rFonts w:ascii="Arial" w:hAnsi="Arial" w:cs="Arial"/>
          <w:sz w:val="22"/>
        </w:rPr>
      </w:pPr>
    </w:p>
    <w:p w:rsidR="00E360DF" w:rsidRDefault="00E360DF" w:rsidP="00E360DF">
      <w:pPr>
        <w:jc w:val="center"/>
        <w:rPr>
          <w:rFonts w:ascii="Arial" w:hAnsi="Arial" w:cs="Arial"/>
          <w:sz w:val="22"/>
        </w:rPr>
      </w:pPr>
      <w:r w:rsidRPr="00E360DF">
        <w:rPr>
          <w:noProof/>
          <w:lang w:eastAsia="en-GB"/>
        </w:rPr>
        <w:drawing>
          <wp:inline distT="0" distB="0" distL="0" distR="0" wp14:anchorId="33D87201" wp14:editId="119A5C6B">
            <wp:extent cx="6170613" cy="284797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0613" cy="2847975"/>
                    </a:xfrm>
                    <a:prstGeom prst="rect">
                      <a:avLst/>
                    </a:prstGeom>
                    <a:noFill/>
                    <a:ln>
                      <a:noFill/>
                    </a:ln>
                  </pic:spPr>
                </pic:pic>
              </a:graphicData>
            </a:graphic>
          </wp:inline>
        </w:drawing>
      </w:r>
    </w:p>
    <w:p w:rsidR="00E360DF" w:rsidRDefault="00E360DF">
      <w:pPr>
        <w:rPr>
          <w:rFonts w:ascii="Arial" w:hAnsi="Arial" w:cs="Arial"/>
          <w:sz w:val="22"/>
        </w:rPr>
      </w:pPr>
    </w:p>
    <w:p w:rsidR="00E360DF" w:rsidRDefault="00E360DF" w:rsidP="0080076D">
      <w:pPr>
        <w:rPr>
          <w:rFonts w:ascii="Arial" w:hAnsi="Arial" w:cs="Arial"/>
          <w:sz w:val="22"/>
        </w:rPr>
      </w:pPr>
    </w:p>
    <w:p w:rsidR="00E360DF" w:rsidRDefault="00E360DF" w:rsidP="0080076D">
      <w:pPr>
        <w:rPr>
          <w:rFonts w:ascii="Arial" w:hAnsi="Arial" w:cs="Arial"/>
          <w:sz w:val="22"/>
        </w:rPr>
      </w:pPr>
    </w:p>
    <w:p w:rsidR="00E360DF" w:rsidRPr="00E360DF" w:rsidRDefault="00E360DF" w:rsidP="00E360DF">
      <w:pPr>
        <w:ind w:left="567"/>
        <w:rPr>
          <w:rFonts w:ascii="Arial" w:hAnsi="Arial" w:cs="Arial"/>
          <w:color w:val="0033CC"/>
          <w:sz w:val="22"/>
        </w:rPr>
      </w:pPr>
      <w:r w:rsidRPr="00E360DF">
        <w:rPr>
          <w:rFonts w:ascii="Arial" w:hAnsi="Arial" w:cs="Arial"/>
          <w:color w:val="0033CC"/>
          <w:sz w:val="22"/>
        </w:rPr>
        <w:t>Reconciliation of the Movements in the Fair Value of Scheme Assets</w:t>
      </w:r>
    </w:p>
    <w:p w:rsidR="00E360DF" w:rsidRDefault="00E360DF" w:rsidP="0080076D">
      <w:pPr>
        <w:rPr>
          <w:rFonts w:ascii="Arial" w:hAnsi="Arial" w:cs="Arial"/>
          <w:sz w:val="22"/>
        </w:rPr>
      </w:pPr>
    </w:p>
    <w:p w:rsidR="00E360DF" w:rsidRDefault="00E360DF" w:rsidP="0080076D">
      <w:pPr>
        <w:rPr>
          <w:rFonts w:ascii="Arial" w:hAnsi="Arial" w:cs="Arial"/>
          <w:sz w:val="22"/>
        </w:rPr>
      </w:pPr>
      <w:r w:rsidRPr="00E360DF">
        <w:rPr>
          <w:noProof/>
          <w:lang w:eastAsia="en-GB"/>
        </w:rPr>
        <w:drawing>
          <wp:inline distT="0" distB="0" distL="0" distR="0" wp14:anchorId="210EB887" wp14:editId="4CC9D1D5">
            <wp:extent cx="6200144" cy="3257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6739" cy="3255761"/>
                    </a:xfrm>
                    <a:prstGeom prst="rect">
                      <a:avLst/>
                    </a:prstGeom>
                    <a:noFill/>
                    <a:ln>
                      <a:noFill/>
                    </a:ln>
                  </pic:spPr>
                </pic:pic>
              </a:graphicData>
            </a:graphic>
          </wp:inline>
        </w:drawing>
      </w:r>
    </w:p>
    <w:p w:rsidR="00E360DF" w:rsidRDefault="00E360DF" w:rsidP="0080076D">
      <w:pPr>
        <w:rPr>
          <w:rFonts w:ascii="Arial" w:hAnsi="Arial" w:cs="Arial"/>
          <w:sz w:val="22"/>
        </w:rPr>
      </w:pPr>
    </w:p>
    <w:p w:rsidR="00E360DF" w:rsidRDefault="00E360DF"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E360DF" w:rsidRDefault="00E360DF" w:rsidP="0080076D">
      <w:pPr>
        <w:rPr>
          <w:rFonts w:ascii="Arial" w:hAnsi="Arial" w:cs="Arial"/>
          <w:sz w:val="22"/>
        </w:rPr>
      </w:pPr>
    </w:p>
    <w:p w:rsidR="00E360DF" w:rsidRPr="00E360DF" w:rsidRDefault="00E360DF" w:rsidP="00DE53B3">
      <w:pPr>
        <w:ind w:left="567"/>
        <w:rPr>
          <w:rFonts w:ascii="Arial" w:hAnsi="Arial" w:cs="Arial"/>
          <w:color w:val="0033CC"/>
          <w:sz w:val="22"/>
        </w:rPr>
      </w:pPr>
      <w:r w:rsidRPr="00E360DF">
        <w:rPr>
          <w:rFonts w:ascii="Arial" w:hAnsi="Arial" w:cs="Arial"/>
          <w:color w:val="0033CC"/>
          <w:sz w:val="22"/>
        </w:rPr>
        <w:lastRenderedPageBreak/>
        <w:t>Reconciliation of Present Value of the Scheme Liabilities (Defined Benefit Obligation)</w:t>
      </w:r>
    </w:p>
    <w:p w:rsidR="00E360DF" w:rsidRDefault="00E360DF" w:rsidP="0080076D">
      <w:pPr>
        <w:rPr>
          <w:rFonts w:ascii="Arial" w:hAnsi="Arial" w:cs="Arial"/>
          <w:sz w:val="22"/>
        </w:rPr>
      </w:pPr>
    </w:p>
    <w:p w:rsidR="00E360DF" w:rsidRDefault="00E360DF" w:rsidP="00DE53B3">
      <w:pPr>
        <w:jc w:val="center"/>
        <w:rPr>
          <w:rFonts w:ascii="Arial" w:hAnsi="Arial" w:cs="Arial"/>
          <w:sz w:val="22"/>
        </w:rPr>
      </w:pPr>
      <w:r w:rsidRPr="00E360DF">
        <w:rPr>
          <w:noProof/>
          <w:lang w:eastAsia="en-GB"/>
        </w:rPr>
        <w:drawing>
          <wp:inline distT="0" distB="0" distL="0" distR="0" wp14:anchorId="6C2A6343" wp14:editId="312EEDB0">
            <wp:extent cx="6104480" cy="3552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5894" cy="3553648"/>
                    </a:xfrm>
                    <a:prstGeom prst="rect">
                      <a:avLst/>
                    </a:prstGeom>
                    <a:noFill/>
                    <a:ln>
                      <a:noFill/>
                    </a:ln>
                  </pic:spPr>
                </pic:pic>
              </a:graphicData>
            </a:graphic>
          </wp:inline>
        </w:drawing>
      </w:r>
    </w:p>
    <w:p w:rsidR="00E360DF" w:rsidRDefault="00E360DF"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Pr="00DE53B3" w:rsidRDefault="00DE53B3" w:rsidP="00F81174">
      <w:pPr>
        <w:ind w:left="567"/>
        <w:rPr>
          <w:rFonts w:ascii="Arial" w:hAnsi="Arial" w:cs="Arial"/>
          <w:color w:val="0033CC"/>
          <w:sz w:val="22"/>
        </w:rPr>
      </w:pPr>
      <w:r w:rsidRPr="00DE53B3">
        <w:rPr>
          <w:rFonts w:ascii="Arial" w:hAnsi="Arial" w:cs="Arial"/>
          <w:color w:val="0033CC"/>
          <w:sz w:val="22"/>
        </w:rPr>
        <w:lastRenderedPageBreak/>
        <w:t>Local Government Pension Scheme Assets comprised:</w:t>
      </w:r>
    </w:p>
    <w:p w:rsidR="00DE53B3" w:rsidRDefault="00DE53B3" w:rsidP="0080076D">
      <w:pPr>
        <w:rPr>
          <w:rFonts w:ascii="Arial" w:hAnsi="Arial" w:cs="Arial"/>
          <w:sz w:val="22"/>
        </w:rPr>
      </w:pPr>
    </w:p>
    <w:p w:rsidR="00DE53B3" w:rsidRDefault="00DE53B3" w:rsidP="00F81174">
      <w:pPr>
        <w:jc w:val="center"/>
        <w:rPr>
          <w:rFonts w:ascii="Arial" w:hAnsi="Arial" w:cs="Arial"/>
          <w:sz w:val="22"/>
        </w:rPr>
      </w:pPr>
      <w:r w:rsidRPr="00DE53B3">
        <w:rPr>
          <w:noProof/>
          <w:lang w:eastAsia="en-GB"/>
        </w:rPr>
        <w:drawing>
          <wp:inline distT="0" distB="0" distL="0" distR="0">
            <wp:extent cx="5648325" cy="5057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8325" cy="5057775"/>
                    </a:xfrm>
                    <a:prstGeom prst="rect">
                      <a:avLst/>
                    </a:prstGeom>
                    <a:noFill/>
                    <a:ln>
                      <a:noFill/>
                    </a:ln>
                  </pic:spPr>
                </pic:pic>
              </a:graphicData>
            </a:graphic>
          </wp:inline>
        </w:drawing>
      </w: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DE53B3">
      <w:pPr>
        <w:jc w:val="center"/>
        <w:rPr>
          <w:rFonts w:ascii="Arial" w:hAnsi="Arial" w:cs="Arial"/>
          <w:sz w:val="22"/>
        </w:rPr>
      </w:pPr>
      <w:r w:rsidRPr="00DE53B3">
        <w:rPr>
          <w:noProof/>
          <w:lang w:eastAsia="en-GB"/>
        </w:rPr>
        <w:drawing>
          <wp:inline distT="0" distB="0" distL="0" distR="0">
            <wp:extent cx="5381625" cy="169331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1625" cy="1693314"/>
                    </a:xfrm>
                    <a:prstGeom prst="rect">
                      <a:avLst/>
                    </a:prstGeom>
                    <a:noFill/>
                    <a:ln>
                      <a:noFill/>
                    </a:ln>
                  </pic:spPr>
                </pic:pic>
              </a:graphicData>
            </a:graphic>
          </wp:inline>
        </w:drawing>
      </w: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DE53B3" w:rsidRDefault="00DE53B3" w:rsidP="0080076D">
      <w:pPr>
        <w:rPr>
          <w:rFonts w:ascii="Arial" w:hAnsi="Arial" w:cs="Arial"/>
          <w:sz w:val="22"/>
        </w:rPr>
      </w:pPr>
    </w:p>
    <w:p w:rsidR="00AD4366" w:rsidRDefault="00AD4366" w:rsidP="0080076D">
      <w:pPr>
        <w:rPr>
          <w:rFonts w:ascii="Arial" w:hAnsi="Arial" w:cs="Arial"/>
          <w:sz w:val="22"/>
        </w:rPr>
      </w:pPr>
    </w:p>
    <w:p w:rsidR="00AD4366" w:rsidRDefault="00AD4366" w:rsidP="0080076D">
      <w:pPr>
        <w:rPr>
          <w:rFonts w:ascii="Arial" w:hAnsi="Arial" w:cs="Arial"/>
          <w:sz w:val="22"/>
        </w:rPr>
      </w:pPr>
    </w:p>
    <w:p w:rsidR="00AD4366" w:rsidRDefault="00AD4366" w:rsidP="0080076D">
      <w:pPr>
        <w:rPr>
          <w:rFonts w:ascii="Arial" w:hAnsi="Arial" w:cs="Arial"/>
          <w:sz w:val="22"/>
        </w:rPr>
      </w:pPr>
    </w:p>
    <w:p w:rsidR="00AD4366" w:rsidRDefault="00AD4366" w:rsidP="0080076D">
      <w:pPr>
        <w:rPr>
          <w:rFonts w:ascii="Arial" w:hAnsi="Arial" w:cs="Arial"/>
          <w:sz w:val="22"/>
        </w:rPr>
      </w:pPr>
    </w:p>
    <w:p w:rsidR="00DE53B3" w:rsidRDefault="00F81174" w:rsidP="00F81174">
      <w:pPr>
        <w:ind w:left="567"/>
        <w:rPr>
          <w:rFonts w:ascii="Arial" w:hAnsi="Arial" w:cs="Arial"/>
          <w:sz w:val="22"/>
        </w:rPr>
      </w:pPr>
      <w:r w:rsidRPr="00F81174">
        <w:rPr>
          <w:rFonts w:ascii="Arial" w:hAnsi="Arial" w:cs="Arial"/>
          <w:color w:val="0033CC"/>
          <w:sz w:val="22"/>
        </w:rPr>
        <w:lastRenderedPageBreak/>
        <w:t>Basis for Estimating Assets and Liabilities</w:t>
      </w:r>
    </w:p>
    <w:p w:rsidR="00F81174" w:rsidRDefault="00F81174" w:rsidP="0080076D">
      <w:pPr>
        <w:rPr>
          <w:rFonts w:ascii="Arial" w:hAnsi="Arial" w:cs="Arial"/>
          <w:sz w:val="22"/>
        </w:rPr>
      </w:pPr>
    </w:p>
    <w:p w:rsidR="00F81174" w:rsidRDefault="00F81174" w:rsidP="009B681D">
      <w:pPr>
        <w:ind w:left="567"/>
        <w:rPr>
          <w:rFonts w:ascii="Arial" w:hAnsi="Arial" w:cs="Arial"/>
          <w:sz w:val="22"/>
        </w:rPr>
      </w:pPr>
      <w:r>
        <w:rPr>
          <w:rFonts w:ascii="Arial" w:hAnsi="Arial" w:cs="Arial"/>
          <w:sz w:val="22"/>
        </w:rPr>
        <w:t>Liabilities have been assessed on an actuarial basis using the projected unit credit method, an estimate of the pensions that will be payable in future years dependent on the assumptions about mortality rates, salary levels etc.</w:t>
      </w:r>
    </w:p>
    <w:p w:rsidR="00C030B0" w:rsidRDefault="00C030B0" w:rsidP="009B681D">
      <w:pPr>
        <w:ind w:left="567"/>
        <w:rPr>
          <w:rFonts w:ascii="Arial" w:hAnsi="Arial" w:cs="Arial"/>
          <w:sz w:val="22"/>
        </w:rPr>
      </w:pPr>
    </w:p>
    <w:p w:rsidR="00C030B0" w:rsidRDefault="00C030B0" w:rsidP="009B681D">
      <w:pPr>
        <w:ind w:left="567"/>
        <w:rPr>
          <w:rFonts w:ascii="Arial" w:hAnsi="Arial" w:cs="Arial"/>
          <w:sz w:val="22"/>
        </w:rPr>
      </w:pPr>
      <w:r>
        <w:rPr>
          <w:rFonts w:ascii="Arial" w:hAnsi="Arial" w:cs="Arial"/>
          <w:sz w:val="22"/>
        </w:rPr>
        <w:t>Both the Local Government pension Scheme and discretionary benefits liabilities have been estimated by Hymans Robertson LLP, an independent firm of actuaries, estimates for the fund being based on the latest full valuation of the scheme as at 31 March 2013.</w:t>
      </w:r>
    </w:p>
    <w:p w:rsidR="00C030B0" w:rsidRDefault="00C030B0" w:rsidP="009B681D">
      <w:pPr>
        <w:ind w:left="567"/>
        <w:rPr>
          <w:rFonts w:ascii="Arial" w:hAnsi="Arial" w:cs="Arial"/>
          <w:sz w:val="22"/>
        </w:rPr>
      </w:pPr>
    </w:p>
    <w:p w:rsidR="00C030B0" w:rsidRDefault="00C030B0" w:rsidP="009B681D">
      <w:pPr>
        <w:ind w:left="567"/>
        <w:rPr>
          <w:rFonts w:ascii="Arial" w:hAnsi="Arial" w:cs="Arial"/>
          <w:sz w:val="22"/>
        </w:rPr>
      </w:pPr>
      <w:r>
        <w:rPr>
          <w:rFonts w:ascii="Arial" w:hAnsi="Arial" w:cs="Arial"/>
          <w:sz w:val="22"/>
        </w:rPr>
        <w:t>The significant assumptions used by the actuary have been:</w:t>
      </w:r>
    </w:p>
    <w:p w:rsidR="00C030B0" w:rsidRDefault="00C030B0" w:rsidP="0080076D">
      <w:pPr>
        <w:rPr>
          <w:rFonts w:ascii="Arial" w:hAnsi="Arial" w:cs="Arial"/>
          <w:sz w:val="22"/>
        </w:rPr>
      </w:pPr>
    </w:p>
    <w:p w:rsidR="00C030B0" w:rsidRDefault="00C030B0" w:rsidP="0080076D">
      <w:pPr>
        <w:rPr>
          <w:rFonts w:ascii="Arial" w:hAnsi="Arial" w:cs="Arial"/>
          <w:sz w:val="22"/>
        </w:rPr>
      </w:pPr>
      <w:r w:rsidRPr="00C030B0">
        <w:rPr>
          <w:noProof/>
          <w:lang w:eastAsia="en-GB"/>
        </w:rPr>
        <w:drawing>
          <wp:inline distT="0" distB="0" distL="0" distR="0">
            <wp:extent cx="5410200" cy="418727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4424" cy="4190548"/>
                    </a:xfrm>
                    <a:prstGeom prst="rect">
                      <a:avLst/>
                    </a:prstGeom>
                    <a:noFill/>
                    <a:ln>
                      <a:noFill/>
                    </a:ln>
                  </pic:spPr>
                </pic:pic>
              </a:graphicData>
            </a:graphic>
          </wp:inline>
        </w:drawing>
      </w:r>
    </w:p>
    <w:p w:rsidR="00E360DF" w:rsidRDefault="00E360DF" w:rsidP="0080076D">
      <w:pPr>
        <w:rPr>
          <w:rFonts w:ascii="Arial" w:hAnsi="Arial" w:cs="Arial"/>
          <w:sz w:val="22"/>
        </w:rPr>
      </w:pPr>
    </w:p>
    <w:p w:rsidR="00C030B0" w:rsidRDefault="00C030B0" w:rsidP="0080076D">
      <w:pPr>
        <w:rPr>
          <w:rFonts w:ascii="Arial" w:hAnsi="Arial" w:cs="Arial"/>
          <w:sz w:val="22"/>
        </w:rPr>
      </w:pPr>
    </w:p>
    <w:p w:rsidR="00C030B0" w:rsidRDefault="00C030B0" w:rsidP="009B681D">
      <w:pPr>
        <w:ind w:left="567"/>
        <w:rPr>
          <w:rFonts w:ascii="Arial" w:hAnsi="Arial" w:cs="Arial"/>
          <w:sz w:val="22"/>
        </w:rPr>
      </w:pPr>
      <w:r>
        <w:rPr>
          <w:rFonts w:ascii="Arial" w:hAnsi="Arial" w:cs="Arial"/>
          <w:sz w:val="22"/>
        </w:rPr>
        <w:t>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w:t>
      </w:r>
      <w:r w:rsidR="00F41105">
        <w:rPr>
          <w:rFonts w:ascii="Arial" w:hAnsi="Arial" w:cs="Arial"/>
          <w:sz w:val="22"/>
        </w:rPr>
        <w:t xml:space="preserve"> analysed changes while all the other assumptions remain constant. The assumption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rsidR="00AD4366" w:rsidRDefault="00AD4366" w:rsidP="0080076D">
      <w:pPr>
        <w:rPr>
          <w:rFonts w:ascii="Arial" w:hAnsi="Arial" w:cs="Arial"/>
          <w:sz w:val="22"/>
        </w:rPr>
      </w:pPr>
    </w:p>
    <w:p w:rsidR="00C030B0" w:rsidRDefault="00C030B0" w:rsidP="0080076D">
      <w:pPr>
        <w:rPr>
          <w:rFonts w:ascii="Arial" w:hAnsi="Arial" w:cs="Arial"/>
          <w:sz w:val="22"/>
        </w:rPr>
      </w:pPr>
    </w:p>
    <w:tbl>
      <w:tblPr>
        <w:tblW w:w="9460" w:type="dxa"/>
        <w:tblInd w:w="93" w:type="dxa"/>
        <w:tblLook w:val="04A0" w:firstRow="1" w:lastRow="0" w:firstColumn="1" w:lastColumn="0" w:noHBand="0" w:noVBand="1"/>
      </w:tblPr>
      <w:tblGrid>
        <w:gridCol w:w="4521"/>
        <w:gridCol w:w="222"/>
        <w:gridCol w:w="353"/>
        <w:gridCol w:w="1966"/>
        <w:gridCol w:w="272"/>
        <w:gridCol w:w="893"/>
        <w:gridCol w:w="1472"/>
      </w:tblGrid>
      <w:tr w:rsidR="00AD4366" w:rsidRPr="00AD4366" w:rsidTr="00AD4366">
        <w:trPr>
          <w:trHeight w:val="570"/>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60" w:type="dxa"/>
            <w:tcBorders>
              <w:top w:val="nil"/>
              <w:left w:val="nil"/>
              <w:bottom w:val="nil"/>
              <w:right w:val="nil"/>
            </w:tcBorders>
            <w:shd w:val="clear" w:color="auto" w:fill="auto"/>
            <w:vAlign w:val="bottom"/>
            <w:hideMark/>
          </w:tcPr>
          <w:p w:rsidR="00AD4366" w:rsidRPr="00AD4366" w:rsidRDefault="00AD4366" w:rsidP="00AD4366">
            <w:pPr>
              <w:rPr>
                <w:rFonts w:ascii="Arial" w:hAnsi="Arial" w:cs="Arial"/>
                <w:b/>
                <w:bCs/>
                <w:lang w:eastAsia="en-GB"/>
              </w:rPr>
            </w:pPr>
          </w:p>
        </w:tc>
        <w:tc>
          <w:tcPr>
            <w:tcW w:w="4779" w:type="dxa"/>
            <w:gridSpan w:val="5"/>
            <w:tcBorders>
              <w:top w:val="nil"/>
              <w:left w:val="nil"/>
              <w:bottom w:val="single" w:sz="8" w:space="0" w:color="auto"/>
              <w:right w:val="nil"/>
            </w:tcBorders>
            <w:shd w:val="clear" w:color="auto" w:fill="auto"/>
            <w:vAlign w:val="bottom"/>
            <w:hideMark/>
          </w:tcPr>
          <w:p w:rsidR="00AD4366" w:rsidRPr="00AD4366" w:rsidRDefault="00AD4366" w:rsidP="00AD4366">
            <w:pPr>
              <w:jc w:val="center"/>
              <w:rPr>
                <w:rFonts w:ascii="Arial" w:hAnsi="Arial" w:cs="Arial"/>
                <w:b/>
                <w:bCs/>
                <w:lang w:eastAsia="en-GB"/>
              </w:rPr>
            </w:pPr>
            <w:r w:rsidRPr="00AD4366">
              <w:rPr>
                <w:rFonts w:ascii="Arial" w:hAnsi="Arial" w:cs="Arial"/>
                <w:b/>
                <w:bCs/>
                <w:lang w:eastAsia="en-GB"/>
              </w:rPr>
              <w:t>Impact on the Defined Benefit Obligation in the Scheme at 31 March 2014:</w:t>
            </w:r>
          </w:p>
        </w:tc>
      </w:tr>
      <w:tr w:rsidR="00AD4366" w:rsidRPr="00AD4366" w:rsidTr="00AD4366">
        <w:trPr>
          <w:trHeight w:val="255"/>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2319" w:type="dxa"/>
            <w:gridSpan w:val="2"/>
            <w:tcBorders>
              <w:top w:val="single" w:sz="8" w:space="0" w:color="auto"/>
              <w:left w:val="nil"/>
              <w:bottom w:val="nil"/>
              <w:right w:val="nil"/>
            </w:tcBorders>
            <w:shd w:val="clear" w:color="auto" w:fill="auto"/>
            <w:noWrap/>
            <w:vAlign w:val="bottom"/>
            <w:hideMark/>
          </w:tcPr>
          <w:p w:rsidR="00AD4366" w:rsidRPr="00AD4366" w:rsidRDefault="00AD4366" w:rsidP="00AD4366">
            <w:pPr>
              <w:jc w:val="center"/>
              <w:rPr>
                <w:rFonts w:ascii="Arial" w:hAnsi="Arial" w:cs="Arial"/>
                <w:b/>
                <w:bCs/>
                <w:lang w:eastAsia="en-GB"/>
              </w:rPr>
            </w:pPr>
            <w:r w:rsidRPr="00AD4366">
              <w:rPr>
                <w:rFonts w:ascii="Arial" w:hAnsi="Arial" w:cs="Arial"/>
                <w:b/>
                <w:bCs/>
                <w:lang w:eastAsia="en-GB"/>
              </w:rPr>
              <w:t>Increase in Assumption</w:t>
            </w:r>
          </w:p>
        </w:tc>
        <w:tc>
          <w:tcPr>
            <w:tcW w:w="95"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b/>
                <w:bCs/>
                <w:lang w:eastAsia="en-GB"/>
              </w:rPr>
            </w:pPr>
            <w:r w:rsidRPr="00AD4366">
              <w:rPr>
                <w:rFonts w:ascii="Arial" w:hAnsi="Arial" w:cs="Arial"/>
                <w:b/>
                <w:bCs/>
                <w:lang w:eastAsia="en-GB"/>
              </w:rPr>
              <w:t> </w:t>
            </w:r>
          </w:p>
        </w:tc>
        <w:tc>
          <w:tcPr>
            <w:tcW w:w="2365" w:type="dxa"/>
            <w:gridSpan w:val="2"/>
            <w:tcBorders>
              <w:top w:val="single" w:sz="8" w:space="0" w:color="auto"/>
              <w:left w:val="nil"/>
              <w:bottom w:val="nil"/>
              <w:right w:val="nil"/>
            </w:tcBorders>
            <w:shd w:val="clear" w:color="auto" w:fill="auto"/>
            <w:noWrap/>
            <w:vAlign w:val="bottom"/>
            <w:hideMark/>
          </w:tcPr>
          <w:p w:rsidR="00AD4366" w:rsidRPr="00AD4366" w:rsidRDefault="00AD4366" w:rsidP="00AD4366">
            <w:pPr>
              <w:jc w:val="center"/>
              <w:rPr>
                <w:rFonts w:ascii="Arial" w:hAnsi="Arial" w:cs="Arial"/>
                <w:b/>
                <w:bCs/>
                <w:lang w:eastAsia="en-GB"/>
              </w:rPr>
            </w:pPr>
            <w:r w:rsidRPr="00AD4366">
              <w:rPr>
                <w:rFonts w:ascii="Arial" w:hAnsi="Arial" w:cs="Arial"/>
                <w:b/>
                <w:bCs/>
                <w:lang w:eastAsia="en-GB"/>
              </w:rPr>
              <w:t>Decrease in Assumption</w:t>
            </w:r>
          </w:p>
        </w:tc>
      </w:tr>
      <w:tr w:rsidR="00AD4366" w:rsidRPr="00AD4366" w:rsidTr="00AD4366">
        <w:trPr>
          <w:trHeight w:val="270"/>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2319" w:type="dxa"/>
            <w:gridSpan w:val="2"/>
            <w:tcBorders>
              <w:top w:val="nil"/>
              <w:left w:val="nil"/>
              <w:bottom w:val="single" w:sz="8" w:space="0" w:color="auto"/>
              <w:right w:val="nil"/>
            </w:tcBorders>
            <w:shd w:val="clear" w:color="auto" w:fill="auto"/>
            <w:noWrap/>
            <w:vAlign w:val="bottom"/>
            <w:hideMark/>
          </w:tcPr>
          <w:p w:rsidR="00AD4366" w:rsidRPr="00AD4366" w:rsidRDefault="00AD4366" w:rsidP="00AD4366">
            <w:pPr>
              <w:jc w:val="center"/>
              <w:rPr>
                <w:rFonts w:ascii="Arial" w:hAnsi="Arial" w:cs="Arial"/>
                <w:b/>
                <w:bCs/>
                <w:lang w:eastAsia="en-GB"/>
              </w:rPr>
            </w:pPr>
            <w:r w:rsidRPr="00AD4366">
              <w:rPr>
                <w:rFonts w:ascii="Arial" w:hAnsi="Arial" w:cs="Arial"/>
                <w:b/>
                <w:bCs/>
                <w:lang w:eastAsia="en-GB"/>
              </w:rPr>
              <w:t>£,000</w:t>
            </w:r>
          </w:p>
        </w:tc>
        <w:tc>
          <w:tcPr>
            <w:tcW w:w="95" w:type="dxa"/>
            <w:tcBorders>
              <w:top w:val="nil"/>
              <w:left w:val="nil"/>
              <w:bottom w:val="single" w:sz="8" w:space="0" w:color="auto"/>
              <w:right w:val="nil"/>
            </w:tcBorders>
            <w:shd w:val="clear" w:color="auto" w:fill="auto"/>
            <w:noWrap/>
            <w:vAlign w:val="bottom"/>
            <w:hideMark/>
          </w:tcPr>
          <w:p w:rsidR="00AD4366" w:rsidRPr="00AD4366" w:rsidRDefault="00AD4366" w:rsidP="00AD4366">
            <w:pPr>
              <w:rPr>
                <w:rFonts w:ascii="Arial" w:hAnsi="Arial" w:cs="Arial"/>
                <w:b/>
                <w:bCs/>
                <w:lang w:eastAsia="en-GB"/>
              </w:rPr>
            </w:pPr>
            <w:r w:rsidRPr="00AD4366">
              <w:rPr>
                <w:rFonts w:ascii="Arial" w:hAnsi="Arial" w:cs="Arial"/>
                <w:b/>
                <w:bCs/>
                <w:lang w:eastAsia="en-GB"/>
              </w:rPr>
              <w:t> </w:t>
            </w:r>
          </w:p>
        </w:tc>
        <w:tc>
          <w:tcPr>
            <w:tcW w:w="2365" w:type="dxa"/>
            <w:gridSpan w:val="2"/>
            <w:tcBorders>
              <w:top w:val="nil"/>
              <w:left w:val="nil"/>
              <w:bottom w:val="single" w:sz="8" w:space="0" w:color="auto"/>
              <w:right w:val="nil"/>
            </w:tcBorders>
            <w:shd w:val="clear" w:color="auto" w:fill="auto"/>
            <w:noWrap/>
            <w:vAlign w:val="bottom"/>
            <w:hideMark/>
          </w:tcPr>
          <w:p w:rsidR="00AD4366" w:rsidRPr="00AD4366" w:rsidRDefault="00AD4366" w:rsidP="00AD4366">
            <w:pPr>
              <w:jc w:val="center"/>
              <w:rPr>
                <w:rFonts w:ascii="Arial" w:hAnsi="Arial" w:cs="Arial"/>
                <w:b/>
                <w:bCs/>
                <w:lang w:eastAsia="en-GB"/>
              </w:rPr>
            </w:pPr>
            <w:r w:rsidRPr="00AD4366">
              <w:rPr>
                <w:rFonts w:ascii="Arial" w:hAnsi="Arial" w:cs="Arial"/>
                <w:b/>
                <w:bCs/>
                <w:lang w:eastAsia="en-GB"/>
              </w:rPr>
              <w:t>£,000</w:t>
            </w:r>
          </w:p>
        </w:tc>
      </w:tr>
      <w:tr w:rsidR="00AD4366" w:rsidRPr="00AD4366" w:rsidTr="00AD4366">
        <w:trPr>
          <w:trHeight w:val="255"/>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35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966"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95"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89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472"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r>
      <w:tr w:rsidR="00AD4366" w:rsidRPr="00AD4366" w:rsidTr="00AD4366">
        <w:trPr>
          <w:trHeight w:val="255"/>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Longevity (increase or decrease in year 1)</w:t>
            </w: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35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966"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3,776 </w:t>
            </w:r>
          </w:p>
        </w:tc>
        <w:tc>
          <w:tcPr>
            <w:tcW w:w="95"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89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472"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0 </w:t>
            </w:r>
          </w:p>
        </w:tc>
      </w:tr>
      <w:tr w:rsidR="00AD4366" w:rsidRPr="00AD4366" w:rsidTr="00AD4366">
        <w:trPr>
          <w:trHeight w:val="255"/>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Rate of increase in salaries (increase by 0.5%)</w:t>
            </w: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35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966"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3,511 </w:t>
            </w:r>
          </w:p>
        </w:tc>
        <w:tc>
          <w:tcPr>
            <w:tcW w:w="95"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89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472"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0 </w:t>
            </w:r>
          </w:p>
        </w:tc>
      </w:tr>
      <w:tr w:rsidR="00AD4366" w:rsidRPr="00AD4366" w:rsidTr="00AD4366">
        <w:trPr>
          <w:trHeight w:val="255"/>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Rate of increase in pensions (increase by 0.5%)</w:t>
            </w: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35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966"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8,205 </w:t>
            </w:r>
          </w:p>
        </w:tc>
        <w:tc>
          <w:tcPr>
            <w:tcW w:w="95"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89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472"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0 </w:t>
            </w:r>
          </w:p>
        </w:tc>
      </w:tr>
      <w:tr w:rsidR="00AD4366" w:rsidRPr="00AD4366" w:rsidTr="00AD4366">
        <w:trPr>
          <w:trHeight w:val="585"/>
        </w:trPr>
        <w:tc>
          <w:tcPr>
            <w:tcW w:w="4521" w:type="dxa"/>
            <w:tcBorders>
              <w:top w:val="nil"/>
              <w:left w:val="nil"/>
              <w:bottom w:val="nil"/>
              <w:right w:val="nil"/>
            </w:tcBorders>
            <w:shd w:val="clear" w:color="auto" w:fill="auto"/>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Rate for discounting scheme liabilities (increase by 0.5%)</w:t>
            </w: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35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966"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11,859 </w:t>
            </w:r>
          </w:p>
        </w:tc>
        <w:tc>
          <w:tcPr>
            <w:tcW w:w="95"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893"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472" w:type="dxa"/>
            <w:tcBorders>
              <w:top w:val="nil"/>
              <w:left w:val="nil"/>
              <w:bottom w:val="nil"/>
              <w:right w:val="nil"/>
            </w:tcBorders>
            <w:shd w:val="clear" w:color="auto" w:fill="auto"/>
            <w:noWrap/>
            <w:vAlign w:val="bottom"/>
            <w:hideMark/>
          </w:tcPr>
          <w:p w:rsidR="00AD4366" w:rsidRPr="00AD4366" w:rsidRDefault="00AD4366" w:rsidP="00AD4366">
            <w:pPr>
              <w:jc w:val="right"/>
              <w:rPr>
                <w:rFonts w:ascii="Arial" w:hAnsi="Arial" w:cs="Arial"/>
                <w:lang w:eastAsia="en-GB"/>
              </w:rPr>
            </w:pPr>
            <w:r w:rsidRPr="00AD4366">
              <w:rPr>
                <w:rFonts w:ascii="Arial" w:hAnsi="Arial" w:cs="Arial"/>
                <w:lang w:eastAsia="en-GB"/>
              </w:rPr>
              <w:t xml:space="preserve">0 </w:t>
            </w:r>
          </w:p>
        </w:tc>
      </w:tr>
      <w:tr w:rsidR="00AD4366" w:rsidRPr="00AD4366" w:rsidTr="00AD4366">
        <w:trPr>
          <w:trHeight w:val="255"/>
        </w:trPr>
        <w:tc>
          <w:tcPr>
            <w:tcW w:w="4521"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160" w:type="dxa"/>
            <w:tcBorders>
              <w:top w:val="nil"/>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p>
        </w:tc>
        <w:tc>
          <w:tcPr>
            <w:tcW w:w="353" w:type="dxa"/>
            <w:tcBorders>
              <w:top w:val="single" w:sz="8" w:space="0" w:color="auto"/>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 </w:t>
            </w:r>
          </w:p>
        </w:tc>
        <w:tc>
          <w:tcPr>
            <w:tcW w:w="1966" w:type="dxa"/>
            <w:tcBorders>
              <w:top w:val="single" w:sz="8" w:space="0" w:color="auto"/>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 </w:t>
            </w:r>
          </w:p>
        </w:tc>
        <w:tc>
          <w:tcPr>
            <w:tcW w:w="95" w:type="dxa"/>
            <w:tcBorders>
              <w:top w:val="single" w:sz="8" w:space="0" w:color="auto"/>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 </w:t>
            </w:r>
          </w:p>
        </w:tc>
        <w:tc>
          <w:tcPr>
            <w:tcW w:w="893" w:type="dxa"/>
            <w:tcBorders>
              <w:top w:val="single" w:sz="8" w:space="0" w:color="auto"/>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 </w:t>
            </w:r>
          </w:p>
        </w:tc>
        <w:tc>
          <w:tcPr>
            <w:tcW w:w="1472" w:type="dxa"/>
            <w:tcBorders>
              <w:top w:val="single" w:sz="8" w:space="0" w:color="auto"/>
              <w:left w:val="nil"/>
              <w:bottom w:val="nil"/>
              <w:right w:val="nil"/>
            </w:tcBorders>
            <w:shd w:val="clear" w:color="auto" w:fill="auto"/>
            <w:noWrap/>
            <w:vAlign w:val="bottom"/>
            <w:hideMark/>
          </w:tcPr>
          <w:p w:rsidR="00AD4366" w:rsidRPr="00AD4366" w:rsidRDefault="00AD4366" w:rsidP="00AD4366">
            <w:pPr>
              <w:rPr>
                <w:rFonts w:ascii="Arial" w:hAnsi="Arial" w:cs="Arial"/>
                <w:lang w:eastAsia="en-GB"/>
              </w:rPr>
            </w:pPr>
            <w:r w:rsidRPr="00AD4366">
              <w:rPr>
                <w:rFonts w:ascii="Arial" w:hAnsi="Arial" w:cs="Arial"/>
                <w:lang w:eastAsia="en-GB"/>
              </w:rPr>
              <w:t> </w:t>
            </w:r>
          </w:p>
        </w:tc>
      </w:tr>
    </w:tbl>
    <w:p w:rsidR="00BF6DEA" w:rsidRDefault="00BF6DEA" w:rsidP="0080076D">
      <w:pPr>
        <w:rPr>
          <w:rFonts w:ascii="Arial" w:hAnsi="Arial" w:cs="Arial"/>
          <w:sz w:val="22"/>
        </w:rPr>
      </w:pPr>
    </w:p>
    <w:p w:rsidR="00BF6DEA" w:rsidRDefault="00BF6DEA" w:rsidP="0080076D">
      <w:pPr>
        <w:rPr>
          <w:rFonts w:ascii="Arial" w:hAnsi="Arial" w:cs="Arial"/>
          <w:sz w:val="22"/>
        </w:rPr>
      </w:pPr>
    </w:p>
    <w:p w:rsidR="00BF6DEA" w:rsidRPr="009B681D" w:rsidRDefault="00BF6DEA" w:rsidP="009B681D">
      <w:pPr>
        <w:ind w:left="709"/>
        <w:rPr>
          <w:rFonts w:ascii="Arial" w:hAnsi="Arial" w:cs="Arial"/>
          <w:color w:val="003399"/>
          <w:sz w:val="22"/>
        </w:rPr>
      </w:pPr>
      <w:r w:rsidRPr="009B681D">
        <w:rPr>
          <w:rFonts w:ascii="Arial" w:hAnsi="Arial" w:cs="Arial"/>
          <w:color w:val="003399"/>
          <w:sz w:val="22"/>
        </w:rPr>
        <w:t>Impact on the Authority’s Cash Flows</w:t>
      </w:r>
    </w:p>
    <w:p w:rsidR="00BF6DEA" w:rsidRDefault="00BF6DEA" w:rsidP="009B681D">
      <w:pPr>
        <w:ind w:left="709"/>
        <w:rPr>
          <w:rFonts w:ascii="Arial" w:hAnsi="Arial" w:cs="Arial"/>
          <w:sz w:val="22"/>
        </w:rPr>
      </w:pPr>
    </w:p>
    <w:p w:rsidR="00BF6DEA" w:rsidRDefault="00BF6DEA" w:rsidP="009B681D">
      <w:pPr>
        <w:ind w:left="709"/>
        <w:rPr>
          <w:rFonts w:ascii="Arial" w:hAnsi="Arial" w:cs="Arial"/>
          <w:sz w:val="22"/>
        </w:rPr>
      </w:pPr>
      <w:r>
        <w:rPr>
          <w:rFonts w:ascii="Arial" w:hAnsi="Arial" w:cs="Arial"/>
          <w:sz w:val="22"/>
        </w:rPr>
        <w:t xml:space="preserve">The objectives of the scheme are to keep employers’ contributions at as constant rate as possible. A strategy has been agreed with the scheme’s actuary to achieve a funding level of </w:t>
      </w:r>
      <w:r w:rsidRPr="009B681D">
        <w:rPr>
          <w:rFonts w:ascii="Arial" w:hAnsi="Arial" w:cs="Arial"/>
          <w:sz w:val="22"/>
        </w:rPr>
        <w:t xml:space="preserve">100% over the next </w:t>
      </w:r>
      <w:r w:rsidR="009B681D">
        <w:rPr>
          <w:rFonts w:ascii="Arial" w:hAnsi="Arial" w:cs="Arial"/>
          <w:sz w:val="22"/>
        </w:rPr>
        <w:t>20</w:t>
      </w:r>
      <w:r>
        <w:rPr>
          <w:rFonts w:ascii="Arial" w:hAnsi="Arial" w:cs="Arial"/>
          <w:sz w:val="22"/>
        </w:rPr>
        <w:t xml:space="preserve"> years. Funding levels are monitored on an annual basis. The next triennial valuation is due to be completed on 31 March 2016.</w:t>
      </w:r>
    </w:p>
    <w:p w:rsidR="00BF6DEA" w:rsidRDefault="00BF6DEA" w:rsidP="009B681D">
      <w:pPr>
        <w:ind w:left="709"/>
        <w:rPr>
          <w:rFonts w:ascii="Arial" w:hAnsi="Arial" w:cs="Arial"/>
          <w:sz w:val="22"/>
        </w:rPr>
      </w:pPr>
    </w:p>
    <w:p w:rsidR="00BF6DEA" w:rsidRDefault="00BF6DEA" w:rsidP="009B681D">
      <w:pPr>
        <w:ind w:left="709"/>
        <w:rPr>
          <w:rFonts w:ascii="Arial" w:hAnsi="Arial" w:cs="Arial"/>
          <w:sz w:val="22"/>
        </w:rPr>
      </w:pPr>
      <w:r>
        <w:rPr>
          <w:rFonts w:ascii="Arial" w:hAnsi="Arial" w:cs="Arial"/>
          <w:sz w:val="22"/>
        </w:rPr>
        <w:t>The scheme will need to take account of the national changes to the scheme under the Public pensions Services Act 2013. Under the Act, the local Government pension Scheme in England</w:t>
      </w:r>
      <w:r w:rsidR="005D1103">
        <w:rPr>
          <w:rFonts w:ascii="Arial" w:hAnsi="Arial" w:cs="Arial"/>
          <w:sz w:val="22"/>
        </w:rPr>
        <w:t xml:space="preserve"> and wales and other main existing public service schemes may not provide benefits in relation to service after 31 March 2014 (or service after 31 March 2015 for other main existing public service pension schemes in England and wales). The Act provides for scheme regulations to be made within a common framework, to establish new career average revalued earnings schemes to pay pensions and other benefits to certain public servants.</w:t>
      </w:r>
    </w:p>
    <w:p w:rsidR="005D1103" w:rsidRDefault="005D1103" w:rsidP="009B681D">
      <w:pPr>
        <w:ind w:left="709"/>
        <w:rPr>
          <w:rFonts w:ascii="Arial" w:hAnsi="Arial" w:cs="Arial"/>
          <w:sz w:val="22"/>
        </w:rPr>
      </w:pPr>
    </w:p>
    <w:p w:rsidR="005D1103" w:rsidRDefault="005D1103" w:rsidP="009B681D">
      <w:pPr>
        <w:ind w:left="709"/>
        <w:rPr>
          <w:rFonts w:ascii="Arial" w:hAnsi="Arial" w:cs="Arial"/>
          <w:sz w:val="22"/>
        </w:rPr>
      </w:pPr>
      <w:r w:rsidRPr="00B14229">
        <w:rPr>
          <w:rFonts w:ascii="Arial" w:hAnsi="Arial" w:cs="Arial"/>
          <w:sz w:val="22"/>
        </w:rPr>
        <w:t>The estimated contributions by the employer in 201</w:t>
      </w:r>
      <w:r w:rsidR="005E33C5">
        <w:rPr>
          <w:rFonts w:ascii="Arial" w:hAnsi="Arial" w:cs="Arial"/>
          <w:sz w:val="22"/>
        </w:rPr>
        <w:t>4</w:t>
      </w:r>
      <w:r w:rsidRPr="00B14229">
        <w:rPr>
          <w:rFonts w:ascii="Arial" w:hAnsi="Arial" w:cs="Arial"/>
          <w:sz w:val="22"/>
        </w:rPr>
        <w:t>-1</w:t>
      </w:r>
      <w:r w:rsidR="005E33C5">
        <w:rPr>
          <w:rFonts w:ascii="Arial" w:hAnsi="Arial" w:cs="Arial"/>
          <w:sz w:val="22"/>
        </w:rPr>
        <w:t>5</w:t>
      </w:r>
      <w:r w:rsidRPr="00B14229">
        <w:rPr>
          <w:rFonts w:ascii="Arial" w:hAnsi="Arial" w:cs="Arial"/>
          <w:sz w:val="22"/>
        </w:rPr>
        <w:t xml:space="preserve"> are £</w:t>
      </w:r>
      <w:r>
        <w:rPr>
          <w:rFonts w:ascii="Arial" w:hAnsi="Arial" w:cs="Arial"/>
          <w:sz w:val="22"/>
        </w:rPr>
        <w:t>2,504</w:t>
      </w:r>
      <w:r w:rsidRPr="00B14229">
        <w:rPr>
          <w:rFonts w:ascii="Arial" w:hAnsi="Arial" w:cs="Arial"/>
          <w:sz w:val="22"/>
        </w:rPr>
        <w:t xml:space="preserve">,000. In addition, the employer </w:t>
      </w:r>
      <w:r>
        <w:rPr>
          <w:rFonts w:ascii="Arial" w:hAnsi="Arial" w:cs="Arial"/>
          <w:sz w:val="22"/>
        </w:rPr>
        <w:t>has contributed</w:t>
      </w:r>
      <w:r w:rsidRPr="00B14229">
        <w:rPr>
          <w:rFonts w:ascii="Arial" w:hAnsi="Arial" w:cs="Arial"/>
          <w:sz w:val="22"/>
        </w:rPr>
        <w:t xml:space="preserve"> approximately £</w:t>
      </w:r>
      <w:r>
        <w:rPr>
          <w:rFonts w:ascii="Arial" w:hAnsi="Arial" w:cs="Arial"/>
          <w:sz w:val="22"/>
        </w:rPr>
        <w:t>348,373</w:t>
      </w:r>
      <w:r w:rsidRPr="00B14229">
        <w:rPr>
          <w:rFonts w:ascii="Arial" w:hAnsi="Arial" w:cs="Arial"/>
          <w:sz w:val="22"/>
        </w:rPr>
        <w:t xml:space="preserve"> in 201</w:t>
      </w:r>
      <w:r>
        <w:rPr>
          <w:rFonts w:ascii="Arial" w:hAnsi="Arial" w:cs="Arial"/>
          <w:sz w:val="22"/>
        </w:rPr>
        <w:t>3</w:t>
      </w:r>
      <w:r w:rsidRPr="00B14229">
        <w:rPr>
          <w:rFonts w:ascii="Arial" w:hAnsi="Arial" w:cs="Arial"/>
          <w:sz w:val="22"/>
        </w:rPr>
        <w:t>-1</w:t>
      </w:r>
      <w:r>
        <w:rPr>
          <w:rFonts w:ascii="Arial" w:hAnsi="Arial" w:cs="Arial"/>
          <w:sz w:val="22"/>
        </w:rPr>
        <w:t>4</w:t>
      </w:r>
      <w:r w:rsidRPr="00B14229">
        <w:rPr>
          <w:rFonts w:ascii="Arial" w:hAnsi="Arial" w:cs="Arial"/>
          <w:sz w:val="22"/>
        </w:rPr>
        <w:t xml:space="preserve"> to an internal reserve.</w:t>
      </w:r>
    </w:p>
    <w:p w:rsidR="00BF6DEA" w:rsidRDefault="00BF6DEA" w:rsidP="009B681D">
      <w:pPr>
        <w:ind w:left="709"/>
        <w:rPr>
          <w:rFonts w:ascii="Arial" w:hAnsi="Arial" w:cs="Arial"/>
          <w:sz w:val="22"/>
        </w:rPr>
      </w:pPr>
    </w:p>
    <w:p w:rsidR="00F23FFF" w:rsidRDefault="00BC5240" w:rsidP="009B681D">
      <w:pPr>
        <w:ind w:left="709"/>
        <w:rPr>
          <w:rFonts w:ascii="Arial" w:hAnsi="Arial" w:cs="Arial"/>
          <w:sz w:val="22"/>
        </w:rPr>
      </w:pPr>
      <w:r>
        <w:rPr>
          <w:rFonts w:ascii="Arial" w:hAnsi="Arial" w:cs="Arial"/>
          <w:sz w:val="22"/>
        </w:rPr>
        <w:t>The weighted average duration of the defined benefit obligation for scheme members is 18.5 years.</w:t>
      </w:r>
    </w:p>
    <w:p w:rsidR="00F23FFF" w:rsidRDefault="00F23FFF">
      <w:pPr>
        <w:rPr>
          <w:rFonts w:ascii="Arial" w:hAnsi="Arial" w:cs="Arial"/>
          <w:bCs/>
          <w:sz w:val="22"/>
        </w:rPr>
      </w:pPr>
    </w:p>
    <w:p w:rsidR="00412DC1" w:rsidRDefault="00412DC1">
      <w:pPr>
        <w:pStyle w:val="xl50"/>
        <w:tabs>
          <w:tab w:val="left" w:pos="709"/>
        </w:tabs>
        <w:spacing w:before="0" w:beforeAutospacing="0" w:after="0" w:afterAutospacing="0"/>
        <w:rPr>
          <w:rFonts w:eastAsia="Times New Roman"/>
          <w:bCs w:val="0"/>
          <w:szCs w:val="20"/>
        </w:rPr>
      </w:pPr>
    </w:p>
    <w:p w:rsidR="00412DC1" w:rsidRDefault="00412DC1">
      <w:pPr>
        <w:pStyle w:val="xl50"/>
        <w:tabs>
          <w:tab w:val="left" w:pos="709"/>
        </w:tabs>
        <w:spacing w:before="0" w:beforeAutospacing="0" w:after="0" w:afterAutospacing="0"/>
        <w:rPr>
          <w:rFonts w:eastAsia="Times New Roman"/>
          <w:bCs w:val="0"/>
          <w:szCs w:val="20"/>
        </w:rPr>
      </w:pPr>
    </w:p>
    <w:p w:rsidR="00F23FFF" w:rsidRDefault="003552BC">
      <w:pPr>
        <w:pStyle w:val="xl50"/>
        <w:tabs>
          <w:tab w:val="left" w:pos="709"/>
        </w:tabs>
        <w:spacing w:before="0" w:beforeAutospacing="0" w:after="0" w:afterAutospacing="0"/>
        <w:rPr>
          <w:rFonts w:eastAsia="Times New Roman"/>
          <w:bCs w:val="0"/>
          <w:szCs w:val="20"/>
        </w:rPr>
      </w:pPr>
      <w:r>
        <w:rPr>
          <w:rFonts w:eastAsia="Times New Roman"/>
          <w:bCs w:val="0"/>
          <w:szCs w:val="20"/>
        </w:rPr>
        <w:t>2</w:t>
      </w:r>
      <w:r w:rsidR="00672827">
        <w:rPr>
          <w:rFonts w:eastAsia="Times New Roman"/>
          <w:bCs w:val="0"/>
          <w:szCs w:val="20"/>
        </w:rPr>
        <w:t>4</w:t>
      </w:r>
      <w:r>
        <w:rPr>
          <w:rFonts w:eastAsia="Times New Roman"/>
          <w:bCs w:val="0"/>
          <w:szCs w:val="20"/>
        </w:rPr>
        <w:t xml:space="preserve">       </w:t>
      </w:r>
      <w:r>
        <w:rPr>
          <w:bCs w:val="0"/>
        </w:rPr>
        <w:t>Events after the Balance Sheet Date</w:t>
      </w:r>
      <w:r>
        <w:rPr>
          <w:bCs w:val="0"/>
          <w:sz w:val="22"/>
        </w:rPr>
        <w:t xml:space="preserve"> </w:t>
      </w:r>
    </w:p>
    <w:p w:rsidR="00F23FFF" w:rsidRDefault="00F23FFF">
      <w:pPr>
        <w:pStyle w:val="xl65"/>
        <w:spacing w:before="0" w:beforeAutospacing="0" w:after="0" w:afterAutospacing="0"/>
        <w:rPr>
          <w:rFonts w:eastAsia="Times New Roman"/>
          <w:bCs/>
          <w:szCs w:val="20"/>
        </w:rPr>
      </w:pPr>
    </w:p>
    <w:p w:rsidR="00CF3796" w:rsidRDefault="003552BC" w:rsidP="00CF3796">
      <w:pPr>
        <w:ind w:left="709"/>
        <w:rPr>
          <w:rFonts w:ascii="Arial" w:hAnsi="Arial" w:cs="Arial"/>
          <w:sz w:val="22"/>
        </w:rPr>
      </w:pPr>
      <w:r>
        <w:rPr>
          <w:rFonts w:ascii="Arial" w:hAnsi="Arial" w:cs="Arial"/>
          <w:sz w:val="22"/>
        </w:rPr>
        <w:t xml:space="preserve">The un-audited Statement of Accounts were authorised for issue by the Executive Director – Corporate Services on </w:t>
      </w:r>
      <w:r w:rsidR="00171A21">
        <w:rPr>
          <w:rFonts w:ascii="Arial" w:hAnsi="Arial" w:cs="Arial"/>
          <w:sz w:val="22"/>
        </w:rPr>
        <w:t>1</w:t>
      </w:r>
      <w:r w:rsidR="003346ED">
        <w:rPr>
          <w:rFonts w:ascii="Arial" w:hAnsi="Arial" w:cs="Arial"/>
          <w:sz w:val="22"/>
        </w:rPr>
        <w:t>3</w:t>
      </w:r>
      <w:r>
        <w:rPr>
          <w:rFonts w:ascii="Arial" w:hAnsi="Arial" w:cs="Arial"/>
          <w:sz w:val="22"/>
        </w:rPr>
        <w:t xml:space="preserve"> June 201</w:t>
      </w:r>
      <w:r w:rsidR="00171A21">
        <w:rPr>
          <w:rFonts w:ascii="Arial" w:hAnsi="Arial" w:cs="Arial"/>
          <w:sz w:val="22"/>
        </w:rPr>
        <w:t>4</w:t>
      </w:r>
      <w:r w:rsidR="001628F4">
        <w:rPr>
          <w:rFonts w:ascii="Arial" w:hAnsi="Arial" w:cs="Arial"/>
          <w:sz w:val="22"/>
        </w:rPr>
        <w:t xml:space="preserve"> </w:t>
      </w:r>
      <w:r w:rsidR="00CF3796">
        <w:rPr>
          <w:rFonts w:ascii="Arial" w:hAnsi="Arial" w:cs="Arial"/>
          <w:sz w:val="22"/>
        </w:rPr>
        <w:t>and the audited accounts were authorised for issue on 26 September 2014. This is the date up to which events after the balance sheet date have been considered.</w:t>
      </w:r>
    </w:p>
    <w:p w:rsidR="00F23FFF" w:rsidRDefault="00F23FFF">
      <w:pPr>
        <w:ind w:left="709"/>
        <w:rPr>
          <w:rFonts w:ascii="Arial" w:hAnsi="Arial" w:cs="Arial"/>
          <w:sz w:val="22"/>
        </w:rPr>
      </w:pPr>
    </w:p>
    <w:p w:rsidR="00F23FFF" w:rsidRDefault="00F23FFF">
      <w:pPr>
        <w:pStyle w:val="xl65"/>
        <w:spacing w:before="0" w:beforeAutospacing="0" w:after="0" w:afterAutospacing="0"/>
        <w:rPr>
          <w:rFonts w:eastAsia="Times New Roman"/>
          <w:bCs/>
          <w:szCs w:val="20"/>
        </w:rPr>
      </w:pPr>
    </w:p>
    <w:p w:rsidR="00F23FFF" w:rsidRDefault="00F23FFF">
      <w:pPr>
        <w:pStyle w:val="xl65"/>
        <w:spacing w:before="0" w:beforeAutospacing="0" w:after="0" w:afterAutospacing="0"/>
        <w:rPr>
          <w:rFonts w:eastAsia="Times New Roman"/>
          <w:bCs/>
          <w:szCs w:val="20"/>
        </w:rPr>
      </w:pPr>
    </w:p>
    <w:p w:rsidR="00F23FFF" w:rsidRDefault="003552BC">
      <w:pPr>
        <w:pStyle w:val="xl50"/>
        <w:spacing w:before="0" w:beforeAutospacing="0" w:after="0" w:afterAutospacing="0"/>
        <w:rPr>
          <w:rFonts w:eastAsia="Times New Roman"/>
          <w:bCs w:val="0"/>
          <w:szCs w:val="20"/>
        </w:rPr>
      </w:pPr>
      <w:r>
        <w:rPr>
          <w:rFonts w:eastAsia="Times New Roman"/>
          <w:bCs w:val="0"/>
          <w:szCs w:val="20"/>
        </w:rPr>
        <w:t>2</w:t>
      </w:r>
      <w:r w:rsidR="00672827">
        <w:rPr>
          <w:rFonts w:eastAsia="Times New Roman"/>
          <w:bCs w:val="0"/>
          <w:szCs w:val="20"/>
        </w:rPr>
        <w:t>5</w:t>
      </w:r>
      <w:r>
        <w:rPr>
          <w:rFonts w:eastAsia="Times New Roman"/>
          <w:bCs w:val="0"/>
          <w:szCs w:val="20"/>
        </w:rPr>
        <w:t xml:space="preserve">      Related Parties</w:t>
      </w:r>
    </w:p>
    <w:p w:rsidR="00F23FFF" w:rsidRDefault="00F23FFF">
      <w:pPr>
        <w:rPr>
          <w:rFonts w:ascii="Arial" w:hAnsi="Arial" w:cs="Arial"/>
          <w:b/>
          <w:color w:val="000080"/>
          <w:sz w:val="24"/>
        </w:rPr>
      </w:pPr>
    </w:p>
    <w:p w:rsidR="00F23FFF" w:rsidRDefault="003552BC" w:rsidP="002578C6">
      <w:pPr>
        <w:ind w:left="709"/>
        <w:rPr>
          <w:rFonts w:ascii="Arial" w:hAnsi="Arial" w:cs="Arial"/>
          <w:sz w:val="22"/>
        </w:rPr>
      </w:pPr>
      <w:r>
        <w:rPr>
          <w:rFonts w:ascii="Arial" w:hAnsi="Arial" w:cs="Arial"/>
          <w:sz w:val="22"/>
        </w:rPr>
        <w:t xml:space="preserve">The Council is required to disclose material transactions with related parties – bodies or individuals that have the potential to control or influence the Council or to be controlled or influenced by the Council. Disclosure of these transactions allows the </w:t>
      </w:r>
      <w:r>
        <w:rPr>
          <w:rFonts w:ascii="Arial" w:hAnsi="Arial" w:cs="Arial"/>
          <w:sz w:val="22"/>
        </w:rPr>
        <w:lastRenderedPageBreak/>
        <w:t>reader to assess the extent to which the Council might have been constrained in its ability to operate independently or might have secured the ability to limit another party’s ability to bargain freely with the Council.</w:t>
      </w:r>
    </w:p>
    <w:p w:rsidR="00F23FFF" w:rsidRDefault="00F23FFF" w:rsidP="002578C6">
      <w:pPr>
        <w:ind w:left="709"/>
        <w:rPr>
          <w:rFonts w:ascii="Arial" w:hAnsi="Arial" w:cs="Arial"/>
          <w:sz w:val="22"/>
        </w:rPr>
      </w:pPr>
    </w:p>
    <w:p w:rsidR="00F23FFF" w:rsidRDefault="003552BC" w:rsidP="002578C6">
      <w:pPr>
        <w:pStyle w:val="BodyText"/>
        <w:ind w:left="709"/>
        <w:jc w:val="left"/>
        <w:rPr>
          <w:rFonts w:ascii="Arial" w:hAnsi="Arial" w:cs="Arial"/>
          <w:sz w:val="22"/>
        </w:rPr>
      </w:pPr>
      <w:r>
        <w:rPr>
          <w:rFonts w:ascii="Arial" w:hAnsi="Arial" w:cs="Arial"/>
          <w:sz w:val="22"/>
        </w:rPr>
        <w:t xml:space="preserve">Central Government is responsible for providing the statutory framework within which the Council operates and provides the majority of its funding in the form of grants and prescribes the terms of many transactions that the Council has with other parties, for example Collection Fund surplus or deficit. Details of transactions with government departments and Precepting authorities are set out in </w:t>
      </w:r>
      <w:r w:rsidR="00E56110">
        <w:rPr>
          <w:rFonts w:ascii="Arial" w:hAnsi="Arial" w:cs="Arial"/>
          <w:sz w:val="22"/>
        </w:rPr>
        <w:t xml:space="preserve">Note </w:t>
      </w:r>
      <w:r w:rsidR="00E56110" w:rsidRPr="001671C0">
        <w:rPr>
          <w:rFonts w:ascii="Arial" w:hAnsi="Arial" w:cs="Arial"/>
          <w:sz w:val="22"/>
        </w:rPr>
        <w:t>36</w:t>
      </w:r>
      <w:r w:rsidR="00E56110">
        <w:rPr>
          <w:rFonts w:ascii="Arial" w:hAnsi="Arial" w:cs="Arial"/>
          <w:sz w:val="22"/>
        </w:rPr>
        <w:t xml:space="preserve"> and the Collection Fund Statement.</w:t>
      </w:r>
    </w:p>
    <w:p w:rsidR="002578C6" w:rsidRDefault="002578C6" w:rsidP="002578C6">
      <w:pPr>
        <w:pStyle w:val="BodyText"/>
        <w:ind w:left="709"/>
        <w:jc w:val="left"/>
        <w:rPr>
          <w:rFonts w:ascii="Arial" w:hAnsi="Arial" w:cs="Arial"/>
          <w:sz w:val="22"/>
        </w:rPr>
      </w:pPr>
    </w:p>
    <w:p w:rsidR="002578C6" w:rsidRDefault="002578C6" w:rsidP="002578C6">
      <w:pPr>
        <w:pStyle w:val="BodyText"/>
        <w:ind w:left="709"/>
        <w:jc w:val="left"/>
        <w:rPr>
          <w:rFonts w:ascii="Arial" w:hAnsi="Arial" w:cs="Arial"/>
          <w:sz w:val="22"/>
        </w:rPr>
      </w:pPr>
      <w:r>
        <w:rPr>
          <w:rFonts w:ascii="Arial" w:hAnsi="Arial" w:cs="Arial"/>
          <w:sz w:val="22"/>
        </w:rPr>
        <w:t>Members of the Council have direct control over the Council’s financial and operating policies. The total of Members’ allowances paid in 201</w:t>
      </w:r>
      <w:r w:rsidR="00171A21">
        <w:rPr>
          <w:rFonts w:ascii="Arial" w:hAnsi="Arial" w:cs="Arial"/>
          <w:sz w:val="22"/>
        </w:rPr>
        <w:t>3</w:t>
      </w:r>
      <w:r>
        <w:rPr>
          <w:rFonts w:ascii="Arial" w:hAnsi="Arial" w:cs="Arial"/>
          <w:sz w:val="22"/>
        </w:rPr>
        <w:t>-1</w:t>
      </w:r>
      <w:r w:rsidR="00171A21">
        <w:rPr>
          <w:rFonts w:ascii="Arial" w:hAnsi="Arial" w:cs="Arial"/>
          <w:sz w:val="22"/>
        </w:rPr>
        <w:t>4</w:t>
      </w:r>
      <w:r>
        <w:rPr>
          <w:rFonts w:ascii="Arial" w:hAnsi="Arial" w:cs="Arial"/>
          <w:sz w:val="22"/>
        </w:rPr>
        <w:t xml:space="preserve"> is shown </w:t>
      </w:r>
      <w:r w:rsidRPr="00412DC1">
        <w:rPr>
          <w:rFonts w:ascii="Arial" w:hAnsi="Arial" w:cs="Arial"/>
          <w:sz w:val="22"/>
        </w:rPr>
        <w:t xml:space="preserve">in </w:t>
      </w:r>
      <w:r w:rsidRPr="001671C0">
        <w:rPr>
          <w:rFonts w:ascii="Arial" w:hAnsi="Arial" w:cs="Arial"/>
          <w:sz w:val="22"/>
        </w:rPr>
        <w:t xml:space="preserve">Note </w:t>
      </w:r>
      <w:r w:rsidR="00E56110" w:rsidRPr="001671C0">
        <w:rPr>
          <w:rFonts w:ascii="Arial" w:hAnsi="Arial" w:cs="Arial"/>
          <w:sz w:val="22"/>
        </w:rPr>
        <w:t>20</w:t>
      </w:r>
      <w:r w:rsidRPr="001671C0">
        <w:rPr>
          <w:rFonts w:ascii="Arial" w:hAnsi="Arial" w:cs="Arial"/>
          <w:sz w:val="22"/>
        </w:rPr>
        <w:t>.</w:t>
      </w:r>
    </w:p>
    <w:p w:rsidR="00F23FFF" w:rsidRDefault="00F23FFF" w:rsidP="002578C6">
      <w:pPr>
        <w:ind w:left="426"/>
        <w:rPr>
          <w:rFonts w:ascii="Arial" w:hAnsi="Arial" w:cs="Arial"/>
          <w:sz w:val="22"/>
        </w:rPr>
      </w:pPr>
    </w:p>
    <w:p w:rsidR="00F23FFF" w:rsidRDefault="00F22827" w:rsidP="002578C6">
      <w:pPr>
        <w:ind w:left="709"/>
        <w:rPr>
          <w:rFonts w:ascii="Arial" w:hAnsi="Arial" w:cs="Arial"/>
          <w:sz w:val="22"/>
        </w:rPr>
      </w:pPr>
      <w:r>
        <w:rPr>
          <w:rFonts w:ascii="Arial" w:hAnsi="Arial" w:cs="Arial"/>
          <w:sz w:val="22"/>
        </w:rPr>
        <w:t>In 201</w:t>
      </w:r>
      <w:r w:rsidR="00171A21">
        <w:rPr>
          <w:rFonts w:ascii="Arial" w:hAnsi="Arial" w:cs="Arial"/>
          <w:sz w:val="22"/>
        </w:rPr>
        <w:t>3</w:t>
      </w:r>
      <w:r>
        <w:rPr>
          <w:rFonts w:ascii="Arial" w:hAnsi="Arial" w:cs="Arial"/>
          <w:sz w:val="22"/>
        </w:rPr>
        <w:t>-</w:t>
      </w:r>
      <w:r w:rsidR="000A4D90">
        <w:rPr>
          <w:rFonts w:ascii="Arial" w:hAnsi="Arial" w:cs="Arial"/>
          <w:sz w:val="22"/>
        </w:rPr>
        <w:t>1</w:t>
      </w:r>
      <w:r w:rsidR="00171A21">
        <w:rPr>
          <w:rFonts w:ascii="Arial" w:hAnsi="Arial" w:cs="Arial"/>
          <w:sz w:val="22"/>
        </w:rPr>
        <w:t>4</w:t>
      </w:r>
      <w:r w:rsidR="003552BC">
        <w:rPr>
          <w:rFonts w:ascii="Arial" w:hAnsi="Arial" w:cs="Arial"/>
          <w:sz w:val="22"/>
        </w:rPr>
        <w:t>, there were no reported material related party transactions that are not disclosed elsewhere in the accounts.</w:t>
      </w:r>
      <w:r w:rsidR="000A4D90">
        <w:rPr>
          <w:rFonts w:ascii="Arial" w:hAnsi="Arial" w:cs="Arial"/>
          <w:sz w:val="22"/>
        </w:rPr>
        <w:t xml:space="preserve"> </w:t>
      </w:r>
    </w:p>
    <w:p w:rsidR="00F23FFF" w:rsidRDefault="00F23FFF">
      <w:pPr>
        <w:pStyle w:val="xl65"/>
        <w:spacing w:before="0" w:beforeAutospacing="0" w:after="0" w:afterAutospacing="0"/>
        <w:rPr>
          <w:rFonts w:eastAsia="Times New Roman"/>
          <w:bCs/>
          <w:szCs w:val="20"/>
        </w:rPr>
      </w:pPr>
    </w:p>
    <w:p w:rsidR="001A6F7B" w:rsidRDefault="001A6F7B">
      <w:pPr>
        <w:pStyle w:val="xl65"/>
        <w:spacing w:before="0" w:beforeAutospacing="0" w:after="0" w:afterAutospacing="0"/>
        <w:rPr>
          <w:rFonts w:eastAsia="Times New Roman"/>
          <w:bCs/>
          <w:szCs w:val="20"/>
        </w:rPr>
      </w:pPr>
    </w:p>
    <w:p w:rsidR="00F23FFF" w:rsidRDefault="003552BC">
      <w:pPr>
        <w:pStyle w:val="xl50"/>
        <w:spacing w:before="0" w:beforeAutospacing="0" w:after="0" w:afterAutospacing="0"/>
        <w:rPr>
          <w:rFonts w:eastAsia="Times New Roman"/>
          <w:bCs w:val="0"/>
          <w:szCs w:val="20"/>
        </w:rPr>
      </w:pPr>
      <w:r>
        <w:rPr>
          <w:rFonts w:eastAsia="Times New Roman"/>
          <w:bCs w:val="0"/>
          <w:szCs w:val="20"/>
        </w:rPr>
        <w:t>2</w:t>
      </w:r>
      <w:r w:rsidR="00672827">
        <w:rPr>
          <w:rFonts w:eastAsia="Times New Roman"/>
          <w:bCs w:val="0"/>
          <w:szCs w:val="20"/>
        </w:rPr>
        <w:t>6</w:t>
      </w:r>
      <w:r>
        <w:rPr>
          <w:rFonts w:eastAsia="Times New Roman"/>
          <w:bCs w:val="0"/>
          <w:szCs w:val="20"/>
        </w:rPr>
        <w:t xml:space="preserve">      Leases  </w:t>
      </w:r>
    </w:p>
    <w:p w:rsidR="00F23FFF" w:rsidRDefault="00F23FFF">
      <w:pPr>
        <w:rPr>
          <w:rFonts w:ascii="Arial" w:hAnsi="Arial" w:cs="Arial"/>
          <w:b/>
          <w:color w:val="000080"/>
          <w:sz w:val="24"/>
        </w:rPr>
      </w:pPr>
    </w:p>
    <w:p w:rsidR="00F23FFF" w:rsidRDefault="003552BC">
      <w:pPr>
        <w:ind w:left="567"/>
        <w:rPr>
          <w:rFonts w:ascii="Arial" w:hAnsi="Arial" w:cs="Arial"/>
          <w:sz w:val="22"/>
        </w:rPr>
      </w:pPr>
      <w:r>
        <w:rPr>
          <w:rFonts w:ascii="Arial" w:hAnsi="Arial" w:cs="Arial"/>
          <w:sz w:val="22"/>
        </w:rPr>
        <w:t>There were no finance lease agreement</w:t>
      </w:r>
      <w:r w:rsidR="00F22827">
        <w:rPr>
          <w:rFonts w:ascii="Arial" w:hAnsi="Arial" w:cs="Arial"/>
          <w:sz w:val="22"/>
        </w:rPr>
        <w:t>s during 201</w:t>
      </w:r>
      <w:r w:rsidR="00171A21">
        <w:rPr>
          <w:rFonts w:ascii="Arial" w:hAnsi="Arial" w:cs="Arial"/>
          <w:sz w:val="22"/>
        </w:rPr>
        <w:t>3</w:t>
      </w:r>
      <w:r w:rsidR="00F22827">
        <w:rPr>
          <w:rFonts w:ascii="Arial" w:hAnsi="Arial" w:cs="Arial"/>
          <w:sz w:val="22"/>
        </w:rPr>
        <w:t>-</w:t>
      </w:r>
      <w:r w:rsidR="000A4D90">
        <w:rPr>
          <w:rFonts w:ascii="Arial" w:hAnsi="Arial" w:cs="Arial"/>
          <w:sz w:val="22"/>
        </w:rPr>
        <w:t>1</w:t>
      </w:r>
      <w:r w:rsidR="00171A21">
        <w:rPr>
          <w:rFonts w:ascii="Arial" w:hAnsi="Arial" w:cs="Arial"/>
          <w:sz w:val="22"/>
        </w:rPr>
        <w:t>4</w:t>
      </w:r>
      <w:r>
        <w:rPr>
          <w:rFonts w:ascii="Arial" w:hAnsi="Arial" w:cs="Arial"/>
          <w:sz w:val="22"/>
        </w:rPr>
        <w:t xml:space="preserve">. </w:t>
      </w:r>
    </w:p>
    <w:p w:rsidR="00F23FFF" w:rsidRDefault="00F23FFF">
      <w:pPr>
        <w:ind w:left="567"/>
        <w:rPr>
          <w:rFonts w:ascii="Arial" w:hAnsi="Arial" w:cs="Arial"/>
          <w:sz w:val="22"/>
        </w:rPr>
      </w:pPr>
    </w:p>
    <w:p w:rsidR="00F23FFF" w:rsidRDefault="003552BC">
      <w:pPr>
        <w:ind w:left="567"/>
        <w:rPr>
          <w:rFonts w:ascii="Arial" w:hAnsi="Arial" w:cs="Arial"/>
          <w:sz w:val="22"/>
        </w:rPr>
      </w:pPr>
      <w:r>
        <w:rPr>
          <w:rFonts w:ascii="Arial" w:hAnsi="Arial" w:cs="Arial"/>
          <w:sz w:val="22"/>
        </w:rPr>
        <w:t xml:space="preserve">The Council </w:t>
      </w:r>
      <w:r w:rsidR="00334978">
        <w:rPr>
          <w:rFonts w:ascii="Arial" w:hAnsi="Arial" w:cs="Arial"/>
          <w:sz w:val="22"/>
        </w:rPr>
        <w:t>has no</w:t>
      </w:r>
      <w:r>
        <w:rPr>
          <w:rFonts w:ascii="Arial" w:hAnsi="Arial" w:cs="Arial"/>
          <w:sz w:val="22"/>
        </w:rPr>
        <w:t xml:space="preserve"> operating leases. Payments of £</w:t>
      </w:r>
      <w:r w:rsidR="00EF0717">
        <w:rPr>
          <w:rFonts w:ascii="Arial" w:hAnsi="Arial" w:cs="Arial"/>
          <w:sz w:val="22"/>
        </w:rPr>
        <w:t>1,</w:t>
      </w:r>
      <w:r w:rsidR="00171A21">
        <w:rPr>
          <w:rFonts w:ascii="Arial" w:hAnsi="Arial" w:cs="Arial"/>
          <w:sz w:val="22"/>
        </w:rPr>
        <w:t>015,548</w:t>
      </w:r>
      <w:r>
        <w:rPr>
          <w:rFonts w:ascii="Arial" w:hAnsi="Arial" w:cs="Arial"/>
          <w:sz w:val="22"/>
        </w:rPr>
        <w:t xml:space="preserve"> in respect of vehicle co</w:t>
      </w:r>
      <w:r w:rsidR="004637E2">
        <w:rPr>
          <w:rFonts w:ascii="Arial" w:hAnsi="Arial" w:cs="Arial"/>
          <w:sz w:val="22"/>
        </w:rPr>
        <w:t>ntract hire were made in 201</w:t>
      </w:r>
      <w:r w:rsidR="00171A21">
        <w:rPr>
          <w:rFonts w:ascii="Arial" w:hAnsi="Arial" w:cs="Arial"/>
          <w:sz w:val="22"/>
        </w:rPr>
        <w:t>3</w:t>
      </w:r>
      <w:r w:rsidR="00F22827">
        <w:rPr>
          <w:rFonts w:ascii="Arial" w:hAnsi="Arial" w:cs="Arial"/>
          <w:sz w:val="22"/>
        </w:rPr>
        <w:t>-</w:t>
      </w:r>
      <w:r w:rsidR="004637E2">
        <w:rPr>
          <w:rFonts w:ascii="Arial" w:hAnsi="Arial" w:cs="Arial"/>
          <w:sz w:val="22"/>
        </w:rPr>
        <w:t>1</w:t>
      </w:r>
      <w:r w:rsidR="00171A21">
        <w:rPr>
          <w:rFonts w:ascii="Arial" w:hAnsi="Arial" w:cs="Arial"/>
          <w:sz w:val="22"/>
        </w:rPr>
        <w:t>4</w:t>
      </w:r>
      <w:r>
        <w:rPr>
          <w:rFonts w:ascii="Arial" w:hAnsi="Arial" w:cs="Arial"/>
          <w:sz w:val="22"/>
        </w:rPr>
        <w:t xml:space="preserve"> </w:t>
      </w:r>
      <w:r w:rsidR="004637E2">
        <w:rPr>
          <w:rFonts w:ascii="Arial" w:hAnsi="Arial" w:cs="Arial"/>
          <w:sz w:val="22"/>
        </w:rPr>
        <w:t>(£1,</w:t>
      </w:r>
      <w:r w:rsidR="00171A21">
        <w:rPr>
          <w:rFonts w:ascii="Arial" w:hAnsi="Arial" w:cs="Arial"/>
          <w:sz w:val="22"/>
        </w:rPr>
        <w:t>041,833</w:t>
      </w:r>
      <w:r w:rsidR="004637E2">
        <w:rPr>
          <w:rFonts w:ascii="Arial" w:hAnsi="Arial" w:cs="Arial"/>
          <w:sz w:val="22"/>
        </w:rPr>
        <w:t xml:space="preserve"> in 201</w:t>
      </w:r>
      <w:r w:rsidR="00171A21">
        <w:rPr>
          <w:rFonts w:ascii="Arial" w:hAnsi="Arial" w:cs="Arial"/>
          <w:sz w:val="22"/>
        </w:rPr>
        <w:t>2</w:t>
      </w:r>
      <w:r w:rsidR="00F22827">
        <w:rPr>
          <w:rFonts w:ascii="Arial" w:hAnsi="Arial" w:cs="Arial"/>
          <w:sz w:val="22"/>
        </w:rPr>
        <w:t>-</w:t>
      </w:r>
      <w:r w:rsidR="004637E2">
        <w:rPr>
          <w:rFonts w:ascii="Arial" w:hAnsi="Arial" w:cs="Arial"/>
          <w:sz w:val="22"/>
        </w:rPr>
        <w:t>1</w:t>
      </w:r>
      <w:r w:rsidR="00171A21">
        <w:rPr>
          <w:rFonts w:ascii="Arial" w:hAnsi="Arial" w:cs="Arial"/>
          <w:sz w:val="22"/>
        </w:rPr>
        <w:t>3</w:t>
      </w:r>
      <w:r>
        <w:rPr>
          <w:rFonts w:ascii="Arial" w:hAnsi="Arial" w:cs="Arial"/>
          <w:sz w:val="22"/>
        </w:rPr>
        <w:t>).</w:t>
      </w:r>
    </w:p>
    <w:p w:rsidR="00F23FFF" w:rsidRDefault="003552BC">
      <w:pPr>
        <w:ind w:left="567"/>
        <w:rPr>
          <w:rFonts w:ascii="Arial" w:hAnsi="Arial" w:cs="Arial"/>
          <w:sz w:val="22"/>
        </w:rPr>
      </w:pPr>
      <w:r>
        <w:rPr>
          <w:rFonts w:ascii="Arial" w:hAnsi="Arial" w:cs="Arial"/>
          <w:sz w:val="22"/>
        </w:rPr>
        <w:t xml:space="preserve"> </w:t>
      </w:r>
    </w:p>
    <w:p w:rsidR="00F23FFF" w:rsidRDefault="003552BC">
      <w:pPr>
        <w:ind w:left="567"/>
        <w:rPr>
          <w:rFonts w:ascii="Arial" w:hAnsi="Arial" w:cs="Arial"/>
          <w:sz w:val="22"/>
        </w:rPr>
      </w:pPr>
      <w:r>
        <w:rPr>
          <w:rFonts w:ascii="Arial" w:hAnsi="Arial" w:cs="Arial"/>
          <w:sz w:val="22"/>
        </w:rPr>
        <w:t xml:space="preserve">The future minimum </w:t>
      </w:r>
      <w:proofErr w:type="gramStart"/>
      <w:r w:rsidR="00334978">
        <w:rPr>
          <w:rFonts w:ascii="Arial" w:hAnsi="Arial" w:cs="Arial"/>
          <w:sz w:val="22"/>
        </w:rPr>
        <w:t>contract hire</w:t>
      </w:r>
      <w:proofErr w:type="gramEnd"/>
      <w:r>
        <w:rPr>
          <w:rFonts w:ascii="Arial" w:hAnsi="Arial" w:cs="Arial"/>
          <w:sz w:val="22"/>
        </w:rPr>
        <w:t xml:space="preserve"> payments due under non-cancellable </w:t>
      </w:r>
      <w:r w:rsidR="00334978">
        <w:rPr>
          <w:rFonts w:ascii="Arial" w:hAnsi="Arial" w:cs="Arial"/>
          <w:sz w:val="22"/>
        </w:rPr>
        <w:t>agreements</w:t>
      </w:r>
      <w:r>
        <w:rPr>
          <w:rFonts w:ascii="Arial" w:hAnsi="Arial" w:cs="Arial"/>
          <w:sz w:val="22"/>
        </w:rPr>
        <w:t xml:space="preserve"> in future years are:</w:t>
      </w:r>
    </w:p>
    <w:p w:rsidR="001A6F7B" w:rsidRDefault="001A6F7B">
      <w:pPr>
        <w:ind w:left="567"/>
        <w:rPr>
          <w:rFonts w:ascii="Arial" w:hAnsi="Arial" w:cs="Arial"/>
          <w:sz w:val="22"/>
        </w:rPr>
      </w:pPr>
    </w:p>
    <w:p w:rsidR="00F23FFF" w:rsidRDefault="00F23FFF">
      <w:pPr>
        <w:rPr>
          <w:rFonts w:ascii="Arial" w:hAnsi="Arial" w:cs="Arial"/>
          <w:b/>
          <w:color w:val="000080"/>
          <w:sz w:val="24"/>
        </w:rPr>
      </w:pPr>
    </w:p>
    <w:tbl>
      <w:tblPr>
        <w:tblW w:w="8760" w:type="dxa"/>
        <w:jc w:val="center"/>
        <w:tblInd w:w="93" w:type="dxa"/>
        <w:tblLook w:val="04A0" w:firstRow="1" w:lastRow="0" w:firstColumn="1" w:lastColumn="0" w:noHBand="0" w:noVBand="1"/>
      </w:tblPr>
      <w:tblGrid>
        <w:gridCol w:w="278"/>
        <w:gridCol w:w="1280"/>
        <w:gridCol w:w="500"/>
        <w:gridCol w:w="5260"/>
        <w:gridCol w:w="1280"/>
        <w:gridCol w:w="278"/>
      </w:tblGrid>
      <w:tr w:rsidR="00171A21" w:rsidRPr="00171A21" w:rsidTr="00171A21">
        <w:trPr>
          <w:trHeight w:val="150"/>
          <w:jc w:val="center"/>
        </w:trPr>
        <w:tc>
          <w:tcPr>
            <w:tcW w:w="260" w:type="dxa"/>
            <w:tcBorders>
              <w:top w:val="single" w:sz="4" w:space="0" w:color="auto"/>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single" w:sz="4" w:space="0" w:color="auto"/>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500" w:type="dxa"/>
            <w:tcBorders>
              <w:top w:val="single" w:sz="4" w:space="0" w:color="auto"/>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5260" w:type="dxa"/>
            <w:tcBorders>
              <w:top w:val="single" w:sz="4" w:space="0" w:color="auto"/>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single" w:sz="4" w:space="0" w:color="auto"/>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80" w:type="dxa"/>
            <w:tcBorders>
              <w:top w:val="single" w:sz="4" w:space="0" w:color="auto"/>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300"/>
          <w:jc w:val="center"/>
        </w:trPr>
        <w:tc>
          <w:tcPr>
            <w:tcW w:w="260" w:type="dxa"/>
            <w:tcBorders>
              <w:top w:val="nil"/>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center"/>
              <w:rPr>
                <w:rFonts w:ascii="Arial" w:hAnsi="Arial" w:cs="Arial"/>
                <w:b/>
                <w:bCs/>
                <w:color w:val="000000"/>
                <w:sz w:val="22"/>
                <w:szCs w:val="22"/>
                <w:lang w:eastAsia="en-GB"/>
              </w:rPr>
            </w:pPr>
            <w:r w:rsidRPr="00171A21">
              <w:rPr>
                <w:rFonts w:ascii="Arial" w:hAnsi="Arial" w:cs="Arial"/>
                <w:b/>
                <w:bCs/>
                <w:color w:val="000000"/>
                <w:sz w:val="22"/>
                <w:szCs w:val="22"/>
                <w:lang w:eastAsia="en-GB"/>
              </w:rPr>
              <w:t>2012-13</w:t>
            </w:r>
          </w:p>
        </w:tc>
        <w:tc>
          <w:tcPr>
            <w:tcW w:w="50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b/>
                <w:bCs/>
                <w:color w:val="000000"/>
                <w:sz w:val="22"/>
                <w:szCs w:val="22"/>
                <w:lang w:eastAsia="en-GB"/>
              </w:rPr>
            </w:pPr>
          </w:p>
        </w:tc>
        <w:tc>
          <w:tcPr>
            <w:tcW w:w="526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b/>
                <w:bCs/>
                <w:color w:val="000000"/>
                <w:sz w:val="22"/>
                <w:szCs w:val="22"/>
                <w:lang w:eastAsia="en-GB"/>
              </w:rPr>
            </w:pP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center"/>
              <w:rPr>
                <w:rFonts w:ascii="Arial" w:hAnsi="Arial" w:cs="Arial"/>
                <w:b/>
                <w:bCs/>
                <w:color w:val="000000"/>
                <w:sz w:val="22"/>
                <w:szCs w:val="22"/>
                <w:lang w:eastAsia="en-GB"/>
              </w:rPr>
            </w:pPr>
            <w:r w:rsidRPr="00171A21">
              <w:rPr>
                <w:rFonts w:ascii="Arial" w:hAnsi="Arial" w:cs="Arial"/>
                <w:b/>
                <w:bCs/>
                <w:color w:val="000000"/>
                <w:sz w:val="22"/>
                <w:szCs w:val="22"/>
                <w:lang w:eastAsia="en-GB"/>
              </w:rPr>
              <w:t>2013-14</w:t>
            </w:r>
          </w:p>
        </w:tc>
        <w:tc>
          <w:tcPr>
            <w:tcW w:w="180" w:type="dxa"/>
            <w:tcBorders>
              <w:top w:val="nil"/>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300"/>
          <w:jc w:val="center"/>
        </w:trPr>
        <w:tc>
          <w:tcPr>
            <w:tcW w:w="260" w:type="dxa"/>
            <w:tcBorders>
              <w:top w:val="nil"/>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center"/>
              <w:rPr>
                <w:rFonts w:ascii="Arial" w:hAnsi="Arial" w:cs="Arial"/>
                <w:b/>
                <w:bCs/>
                <w:color w:val="000000"/>
                <w:sz w:val="22"/>
                <w:szCs w:val="22"/>
                <w:lang w:eastAsia="en-GB"/>
              </w:rPr>
            </w:pPr>
            <w:r w:rsidRPr="00171A21">
              <w:rPr>
                <w:rFonts w:ascii="Arial" w:hAnsi="Arial" w:cs="Arial"/>
                <w:b/>
                <w:bCs/>
                <w:color w:val="000000"/>
                <w:sz w:val="22"/>
                <w:szCs w:val="22"/>
                <w:lang w:eastAsia="en-GB"/>
              </w:rPr>
              <w:t>£</w:t>
            </w:r>
          </w:p>
        </w:tc>
        <w:tc>
          <w:tcPr>
            <w:tcW w:w="50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b/>
                <w:bCs/>
                <w:color w:val="000000"/>
                <w:sz w:val="22"/>
                <w:szCs w:val="22"/>
                <w:lang w:eastAsia="en-GB"/>
              </w:rPr>
            </w:pPr>
          </w:p>
        </w:tc>
        <w:tc>
          <w:tcPr>
            <w:tcW w:w="526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b/>
                <w:bCs/>
                <w:color w:val="000000"/>
                <w:sz w:val="22"/>
                <w:szCs w:val="22"/>
                <w:lang w:eastAsia="en-GB"/>
              </w:rPr>
            </w:pP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center"/>
              <w:rPr>
                <w:rFonts w:ascii="Arial" w:hAnsi="Arial" w:cs="Arial"/>
                <w:b/>
                <w:bCs/>
                <w:color w:val="000000"/>
                <w:sz w:val="22"/>
                <w:szCs w:val="22"/>
                <w:lang w:eastAsia="en-GB"/>
              </w:rPr>
            </w:pPr>
            <w:r w:rsidRPr="00171A21">
              <w:rPr>
                <w:rFonts w:ascii="Arial" w:hAnsi="Arial" w:cs="Arial"/>
                <w:b/>
                <w:bCs/>
                <w:color w:val="000000"/>
                <w:sz w:val="22"/>
                <w:szCs w:val="22"/>
                <w:lang w:eastAsia="en-GB"/>
              </w:rPr>
              <w:t>£</w:t>
            </w:r>
          </w:p>
        </w:tc>
        <w:tc>
          <w:tcPr>
            <w:tcW w:w="180" w:type="dxa"/>
            <w:tcBorders>
              <w:top w:val="nil"/>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285"/>
          <w:jc w:val="center"/>
        </w:trPr>
        <w:tc>
          <w:tcPr>
            <w:tcW w:w="260" w:type="dxa"/>
            <w:tcBorders>
              <w:top w:val="nil"/>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right"/>
              <w:rPr>
                <w:rFonts w:ascii="Arial" w:hAnsi="Arial" w:cs="Arial"/>
                <w:color w:val="000000"/>
                <w:sz w:val="22"/>
                <w:szCs w:val="22"/>
                <w:lang w:eastAsia="en-GB"/>
              </w:rPr>
            </w:pPr>
            <w:r w:rsidRPr="00171A21">
              <w:rPr>
                <w:rFonts w:ascii="Arial" w:hAnsi="Arial" w:cs="Arial"/>
                <w:color w:val="000000"/>
                <w:sz w:val="22"/>
                <w:szCs w:val="22"/>
                <w:lang w:eastAsia="en-GB"/>
              </w:rPr>
              <w:t xml:space="preserve">953,099 </w:t>
            </w:r>
          </w:p>
        </w:tc>
        <w:tc>
          <w:tcPr>
            <w:tcW w:w="50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p>
        </w:tc>
        <w:tc>
          <w:tcPr>
            <w:tcW w:w="526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Not later than one year</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right"/>
              <w:rPr>
                <w:rFonts w:ascii="Arial" w:hAnsi="Arial" w:cs="Arial"/>
                <w:color w:val="000000"/>
                <w:sz w:val="22"/>
                <w:szCs w:val="22"/>
                <w:lang w:eastAsia="en-GB"/>
              </w:rPr>
            </w:pPr>
            <w:r w:rsidRPr="00171A21">
              <w:rPr>
                <w:rFonts w:ascii="Arial" w:hAnsi="Arial" w:cs="Arial"/>
                <w:color w:val="000000"/>
                <w:sz w:val="22"/>
                <w:szCs w:val="22"/>
                <w:lang w:eastAsia="en-GB"/>
              </w:rPr>
              <w:t xml:space="preserve">757,901 </w:t>
            </w:r>
          </w:p>
        </w:tc>
        <w:tc>
          <w:tcPr>
            <w:tcW w:w="180" w:type="dxa"/>
            <w:tcBorders>
              <w:top w:val="nil"/>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285"/>
          <w:jc w:val="center"/>
        </w:trPr>
        <w:tc>
          <w:tcPr>
            <w:tcW w:w="260" w:type="dxa"/>
            <w:tcBorders>
              <w:top w:val="nil"/>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right"/>
              <w:rPr>
                <w:rFonts w:ascii="Arial" w:hAnsi="Arial" w:cs="Arial"/>
                <w:color w:val="000000"/>
                <w:sz w:val="22"/>
                <w:szCs w:val="22"/>
                <w:lang w:eastAsia="en-GB"/>
              </w:rPr>
            </w:pPr>
            <w:r w:rsidRPr="00171A21">
              <w:rPr>
                <w:rFonts w:ascii="Arial" w:hAnsi="Arial" w:cs="Arial"/>
                <w:color w:val="000000"/>
                <w:sz w:val="22"/>
                <w:szCs w:val="22"/>
                <w:lang w:eastAsia="en-GB"/>
              </w:rPr>
              <w:t xml:space="preserve">2,096,488 </w:t>
            </w:r>
          </w:p>
        </w:tc>
        <w:tc>
          <w:tcPr>
            <w:tcW w:w="50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p>
        </w:tc>
        <w:tc>
          <w:tcPr>
            <w:tcW w:w="526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Later than one year and not later than five years</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jc w:val="right"/>
              <w:rPr>
                <w:rFonts w:ascii="Arial" w:hAnsi="Arial" w:cs="Arial"/>
                <w:color w:val="000000"/>
                <w:sz w:val="22"/>
                <w:szCs w:val="22"/>
                <w:lang w:eastAsia="en-GB"/>
              </w:rPr>
            </w:pPr>
            <w:r w:rsidRPr="00171A21">
              <w:rPr>
                <w:rFonts w:ascii="Arial" w:hAnsi="Arial" w:cs="Arial"/>
                <w:color w:val="000000"/>
                <w:sz w:val="22"/>
                <w:szCs w:val="22"/>
                <w:lang w:eastAsia="en-GB"/>
              </w:rPr>
              <w:t xml:space="preserve">1,284,597 </w:t>
            </w:r>
          </w:p>
        </w:tc>
        <w:tc>
          <w:tcPr>
            <w:tcW w:w="180" w:type="dxa"/>
            <w:tcBorders>
              <w:top w:val="nil"/>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300"/>
          <w:jc w:val="center"/>
        </w:trPr>
        <w:tc>
          <w:tcPr>
            <w:tcW w:w="260" w:type="dxa"/>
            <w:tcBorders>
              <w:top w:val="nil"/>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p>
        </w:tc>
        <w:tc>
          <w:tcPr>
            <w:tcW w:w="50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p>
        </w:tc>
        <w:tc>
          <w:tcPr>
            <w:tcW w:w="526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p>
        </w:tc>
        <w:tc>
          <w:tcPr>
            <w:tcW w:w="1280" w:type="dxa"/>
            <w:tcBorders>
              <w:top w:val="nil"/>
              <w:left w:val="nil"/>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p>
        </w:tc>
        <w:tc>
          <w:tcPr>
            <w:tcW w:w="180" w:type="dxa"/>
            <w:tcBorders>
              <w:top w:val="nil"/>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315"/>
          <w:jc w:val="center"/>
        </w:trPr>
        <w:tc>
          <w:tcPr>
            <w:tcW w:w="260" w:type="dxa"/>
            <w:tcBorders>
              <w:top w:val="nil"/>
              <w:left w:val="single" w:sz="4" w:space="0" w:color="auto"/>
              <w:bottom w:val="nil"/>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single" w:sz="8" w:space="0" w:color="auto"/>
              <w:left w:val="nil"/>
              <w:bottom w:val="single" w:sz="8" w:space="0" w:color="auto"/>
              <w:right w:val="nil"/>
            </w:tcBorders>
            <w:shd w:val="clear" w:color="auto" w:fill="auto"/>
            <w:noWrap/>
            <w:vAlign w:val="bottom"/>
            <w:hideMark/>
          </w:tcPr>
          <w:p w:rsidR="00171A21" w:rsidRPr="00171A21" w:rsidRDefault="00171A21" w:rsidP="00171A21">
            <w:pPr>
              <w:jc w:val="right"/>
              <w:rPr>
                <w:rFonts w:ascii="Arial" w:hAnsi="Arial" w:cs="Arial"/>
                <w:b/>
                <w:bCs/>
                <w:color w:val="000000"/>
                <w:sz w:val="22"/>
                <w:szCs w:val="22"/>
                <w:lang w:eastAsia="en-GB"/>
              </w:rPr>
            </w:pPr>
            <w:r w:rsidRPr="00171A21">
              <w:rPr>
                <w:rFonts w:ascii="Arial" w:hAnsi="Arial" w:cs="Arial"/>
                <w:b/>
                <w:bCs/>
                <w:color w:val="000000"/>
                <w:sz w:val="22"/>
                <w:szCs w:val="22"/>
                <w:lang w:eastAsia="en-GB"/>
              </w:rPr>
              <w:t xml:space="preserve">3,049,587 </w:t>
            </w:r>
          </w:p>
        </w:tc>
        <w:tc>
          <w:tcPr>
            <w:tcW w:w="500" w:type="dxa"/>
            <w:tcBorders>
              <w:top w:val="single" w:sz="8" w:space="0" w:color="auto"/>
              <w:left w:val="nil"/>
              <w:bottom w:val="single" w:sz="8" w:space="0" w:color="auto"/>
              <w:right w:val="nil"/>
            </w:tcBorders>
            <w:shd w:val="clear" w:color="auto" w:fill="auto"/>
            <w:noWrap/>
            <w:vAlign w:val="bottom"/>
            <w:hideMark/>
          </w:tcPr>
          <w:p w:rsidR="00171A21" w:rsidRPr="00171A21" w:rsidRDefault="00171A21" w:rsidP="00171A21">
            <w:pPr>
              <w:rPr>
                <w:rFonts w:ascii="Arial" w:hAnsi="Arial" w:cs="Arial"/>
                <w:b/>
                <w:bCs/>
                <w:color w:val="000000"/>
                <w:sz w:val="22"/>
                <w:szCs w:val="22"/>
                <w:lang w:eastAsia="en-GB"/>
              </w:rPr>
            </w:pPr>
            <w:r w:rsidRPr="00171A21">
              <w:rPr>
                <w:rFonts w:ascii="Arial" w:hAnsi="Arial" w:cs="Arial"/>
                <w:b/>
                <w:bCs/>
                <w:color w:val="000000"/>
                <w:sz w:val="22"/>
                <w:szCs w:val="22"/>
                <w:lang w:eastAsia="en-GB"/>
              </w:rPr>
              <w:t> </w:t>
            </w:r>
          </w:p>
        </w:tc>
        <w:tc>
          <w:tcPr>
            <w:tcW w:w="5260" w:type="dxa"/>
            <w:tcBorders>
              <w:top w:val="single" w:sz="8" w:space="0" w:color="auto"/>
              <w:left w:val="nil"/>
              <w:bottom w:val="single" w:sz="8" w:space="0" w:color="auto"/>
              <w:right w:val="nil"/>
            </w:tcBorders>
            <w:shd w:val="clear" w:color="auto" w:fill="auto"/>
            <w:noWrap/>
            <w:vAlign w:val="bottom"/>
            <w:hideMark/>
          </w:tcPr>
          <w:p w:rsidR="00171A21" w:rsidRPr="00171A21" w:rsidRDefault="00171A21" w:rsidP="00171A21">
            <w:pPr>
              <w:rPr>
                <w:rFonts w:ascii="Arial" w:hAnsi="Arial" w:cs="Arial"/>
                <w:b/>
                <w:bCs/>
                <w:color w:val="000000"/>
                <w:sz w:val="22"/>
                <w:szCs w:val="22"/>
                <w:lang w:eastAsia="en-GB"/>
              </w:rPr>
            </w:pPr>
            <w:r w:rsidRPr="00171A21">
              <w:rPr>
                <w:rFonts w:ascii="Arial" w:hAnsi="Arial" w:cs="Arial"/>
                <w:b/>
                <w:bCs/>
                <w:color w:val="000000"/>
                <w:sz w:val="22"/>
                <w:szCs w:val="22"/>
                <w:lang w:eastAsia="en-GB"/>
              </w:rPr>
              <w:t> </w:t>
            </w:r>
          </w:p>
        </w:tc>
        <w:tc>
          <w:tcPr>
            <w:tcW w:w="1280" w:type="dxa"/>
            <w:tcBorders>
              <w:top w:val="single" w:sz="8" w:space="0" w:color="auto"/>
              <w:left w:val="nil"/>
              <w:bottom w:val="single" w:sz="8" w:space="0" w:color="auto"/>
              <w:right w:val="nil"/>
            </w:tcBorders>
            <w:shd w:val="clear" w:color="auto" w:fill="auto"/>
            <w:noWrap/>
            <w:vAlign w:val="bottom"/>
            <w:hideMark/>
          </w:tcPr>
          <w:p w:rsidR="00171A21" w:rsidRPr="00171A21" w:rsidRDefault="00171A21" w:rsidP="00171A21">
            <w:pPr>
              <w:jc w:val="right"/>
              <w:rPr>
                <w:rFonts w:ascii="Arial" w:hAnsi="Arial" w:cs="Arial"/>
                <w:b/>
                <w:bCs/>
                <w:color w:val="000000"/>
                <w:sz w:val="22"/>
                <w:szCs w:val="22"/>
                <w:lang w:eastAsia="en-GB"/>
              </w:rPr>
            </w:pPr>
            <w:r w:rsidRPr="00171A21">
              <w:rPr>
                <w:rFonts w:ascii="Arial" w:hAnsi="Arial" w:cs="Arial"/>
                <w:b/>
                <w:bCs/>
                <w:color w:val="000000"/>
                <w:sz w:val="22"/>
                <w:szCs w:val="22"/>
                <w:lang w:eastAsia="en-GB"/>
              </w:rPr>
              <w:t xml:space="preserve">2,042,498 </w:t>
            </w:r>
          </w:p>
        </w:tc>
        <w:tc>
          <w:tcPr>
            <w:tcW w:w="180" w:type="dxa"/>
            <w:tcBorders>
              <w:top w:val="nil"/>
              <w:left w:val="nil"/>
              <w:bottom w:val="nil"/>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r w:rsidR="00171A21" w:rsidRPr="00171A21" w:rsidTr="00171A21">
        <w:trPr>
          <w:trHeight w:val="135"/>
          <w:jc w:val="center"/>
        </w:trPr>
        <w:tc>
          <w:tcPr>
            <w:tcW w:w="260" w:type="dxa"/>
            <w:tcBorders>
              <w:top w:val="nil"/>
              <w:left w:val="single" w:sz="4" w:space="0" w:color="auto"/>
              <w:bottom w:val="single" w:sz="4" w:space="0" w:color="auto"/>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single" w:sz="4" w:space="0" w:color="auto"/>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500" w:type="dxa"/>
            <w:tcBorders>
              <w:top w:val="nil"/>
              <w:left w:val="nil"/>
              <w:bottom w:val="single" w:sz="4" w:space="0" w:color="auto"/>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5260" w:type="dxa"/>
            <w:tcBorders>
              <w:top w:val="nil"/>
              <w:left w:val="nil"/>
              <w:bottom w:val="single" w:sz="4" w:space="0" w:color="auto"/>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280" w:type="dxa"/>
            <w:tcBorders>
              <w:top w:val="nil"/>
              <w:left w:val="nil"/>
              <w:bottom w:val="single" w:sz="4" w:space="0" w:color="auto"/>
              <w:right w:val="nil"/>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c>
          <w:tcPr>
            <w:tcW w:w="180" w:type="dxa"/>
            <w:tcBorders>
              <w:top w:val="nil"/>
              <w:left w:val="nil"/>
              <w:bottom w:val="single" w:sz="4" w:space="0" w:color="auto"/>
              <w:right w:val="single" w:sz="4" w:space="0" w:color="auto"/>
            </w:tcBorders>
            <w:shd w:val="clear" w:color="auto" w:fill="auto"/>
            <w:noWrap/>
            <w:vAlign w:val="bottom"/>
            <w:hideMark/>
          </w:tcPr>
          <w:p w:rsidR="00171A21" w:rsidRPr="00171A21" w:rsidRDefault="00171A21" w:rsidP="00171A21">
            <w:pPr>
              <w:rPr>
                <w:rFonts w:ascii="Arial" w:hAnsi="Arial" w:cs="Arial"/>
                <w:color w:val="000000"/>
                <w:sz w:val="22"/>
                <w:szCs w:val="22"/>
                <w:lang w:eastAsia="en-GB"/>
              </w:rPr>
            </w:pPr>
            <w:r w:rsidRPr="00171A21">
              <w:rPr>
                <w:rFonts w:ascii="Arial" w:hAnsi="Arial" w:cs="Arial"/>
                <w:color w:val="000000"/>
                <w:sz w:val="22"/>
                <w:szCs w:val="22"/>
                <w:lang w:eastAsia="en-GB"/>
              </w:rPr>
              <w:t> </w:t>
            </w:r>
          </w:p>
        </w:tc>
      </w:tr>
    </w:tbl>
    <w:p w:rsidR="00AE5C2C" w:rsidRDefault="00AE5C2C">
      <w:pPr>
        <w:rPr>
          <w:rFonts w:ascii="Arial" w:hAnsi="Arial" w:cs="Arial"/>
          <w:b/>
          <w:color w:val="000080"/>
          <w:sz w:val="24"/>
        </w:rPr>
      </w:pPr>
    </w:p>
    <w:p w:rsidR="00E87AFA" w:rsidRDefault="00E87AFA">
      <w:pPr>
        <w:rPr>
          <w:rFonts w:ascii="Arial" w:hAnsi="Arial" w:cs="Arial"/>
          <w:b/>
          <w:color w:val="000080"/>
          <w:sz w:val="24"/>
        </w:rPr>
      </w:pPr>
    </w:p>
    <w:p w:rsidR="00F23FFF" w:rsidRDefault="003552BC">
      <w:pPr>
        <w:rPr>
          <w:rFonts w:ascii="Arial" w:hAnsi="Arial" w:cs="Arial"/>
          <w:b/>
          <w:color w:val="000080"/>
          <w:sz w:val="24"/>
        </w:rPr>
      </w:pPr>
      <w:r>
        <w:rPr>
          <w:rFonts w:ascii="Arial" w:hAnsi="Arial" w:cs="Arial"/>
          <w:b/>
          <w:color w:val="000080"/>
          <w:sz w:val="24"/>
        </w:rPr>
        <w:t>2</w:t>
      </w:r>
      <w:r w:rsidR="00672827">
        <w:rPr>
          <w:rFonts w:ascii="Arial" w:hAnsi="Arial" w:cs="Arial"/>
          <w:b/>
          <w:color w:val="000080"/>
          <w:sz w:val="24"/>
        </w:rPr>
        <w:t>7</w:t>
      </w:r>
      <w:r>
        <w:rPr>
          <w:rFonts w:ascii="Arial" w:hAnsi="Arial" w:cs="Arial"/>
          <w:b/>
          <w:color w:val="000080"/>
          <w:sz w:val="24"/>
        </w:rPr>
        <w:t xml:space="preserve">    Intangible Assets</w:t>
      </w:r>
    </w:p>
    <w:p w:rsidR="00F23FFF" w:rsidRDefault="00F23FFF">
      <w:pPr>
        <w:rPr>
          <w:rFonts w:ascii="Arial" w:hAnsi="Arial" w:cs="Arial"/>
          <w:b/>
          <w:color w:val="000080"/>
          <w:sz w:val="24"/>
        </w:rPr>
      </w:pPr>
    </w:p>
    <w:p w:rsidR="00F23FFF" w:rsidRDefault="003552BC">
      <w:pPr>
        <w:ind w:left="567"/>
        <w:rPr>
          <w:rFonts w:ascii="Arial" w:hAnsi="Arial" w:cs="Arial"/>
          <w:sz w:val="22"/>
        </w:rPr>
      </w:pPr>
      <w:r>
        <w:rPr>
          <w:rFonts w:ascii="Arial" w:hAnsi="Arial" w:cs="Arial"/>
          <w:sz w:val="22"/>
        </w:rPr>
        <w:t>The Authority accounts for its software as intangible assets, to the extent that the software is not an integral part of a particular IT system and accounted for as part of the hardware item of Property, Plant and Equipment. The intangible assets include both purchased licences and software.</w:t>
      </w:r>
    </w:p>
    <w:p w:rsidR="00F23FFF" w:rsidRDefault="003552BC">
      <w:pPr>
        <w:pStyle w:val="xl65"/>
        <w:spacing w:before="0" w:beforeAutospacing="0" w:after="0" w:afterAutospacing="0"/>
        <w:ind w:left="567"/>
        <w:rPr>
          <w:rFonts w:eastAsia="Times New Roman"/>
          <w:szCs w:val="20"/>
        </w:rPr>
      </w:pPr>
      <w:r>
        <w:rPr>
          <w:rFonts w:eastAsia="Times New Roman"/>
          <w:szCs w:val="20"/>
        </w:rPr>
        <w:t>All software is given a finite useful life based on assessments of the period that the software is expected to be of use to the Authority and is reviewed annually, the useful lives assigned to the software used by the Authority are:</w:t>
      </w:r>
    </w:p>
    <w:p w:rsidR="00F23FFF" w:rsidRDefault="00F23FFF">
      <w:pPr>
        <w:rPr>
          <w:rFonts w:ascii="Arial" w:hAnsi="Arial" w:cs="Arial"/>
          <w:b/>
          <w:color w:val="000080"/>
          <w:sz w:val="24"/>
        </w:rPr>
      </w:pPr>
    </w:p>
    <w:tbl>
      <w:tblPr>
        <w:tblW w:w="0" w:type="auto"/>
        <w:jc w:val="center"/>
        <w:tblLook w:val="0000" w:firstRow="0" w:lastRow="0" w:firstColumn="0" w:lastColumn="0" w:noHBand="0" w:noVBand="0"/>
      </w:tblPr>
      <w:tblGrid>
        <w:gridCol w:w="4303"/>
        <w:gridCol w:w="1617"/>
      </w:tblGrid>
      <w:tr w:rsidR="00F23FFF">
        <w:trPr>
          <w:jc w:val="center"/>
        </w:trPr>
        <w:tc>
          <w:tcPr>
            <w:tcW w:w="4303" w:type="dxa"/>
          </w:tcPr>
          <w:p w:rsidR="00F23FFF" w:rsidRDefault="003552BC">
            <w:pPr>
              <w:rPr>
                <w:rFonts w:ascii="Arial" w:hAnsi="Arial" w:cs="Arial"/>
                <w:sz w:val="22"/>
              </w:rPr>
            </w:pPr>
            <w:r>
              <w:rPr>
                <w:rFonts w:ascii="Arial" w:hAnsi="Arial" w:cs="Arial"/>
                <w:sz w:val="22"/>
              </w:rPr>
              <w:t>Cash Receipting System</w:t>
            </w:r>
          </w:p>
        </w:tc>
        <w:tc>
          <w:tcPr>
            <w:tcW w:w="1617" w:type="dxa"/>
          </w:tcPr>
          <w:p w:rsidR="00F23FFF" w:rsidRDefault="003552BC">
            <w:pPr>
              <w:rPr>
                <w:rFonts w:ascii="Arial" w:hAnsi="Arial" w:cs="Arial"/>
                <w:sz w:val="22"/>
              </w:rPr>
            </w:pPr>
            <w:r>
              <w:rPr>
                <w:rFonts w:ascii="Arial" w:hAnsi="Arial" w:cs="Arial"/>
                <w:sz w:val="22"/>
              </w:rPr>
              <w:t>5 years</w:t>
            </w:r>
          </w:p>
        </w:tc>
      </w:tr>
      <w:tr w:rsidR="00F23FFF">
        <w:trPr>
          <w:jc w:val="center"/>
        </w:trPr>
        <w:tc>
          <w:tcPr>
            <w:tcW w:w="4303" w:type="dxa"/>
          </w:tcPr>
          <w:p w:rsidR="00F23FFF" w:rsidRDefault="003552BC">
            <w:pPr>
              <w:rPr>
                <w:rFonts w:ascii="Arial" w:hAnsi="Arial" w:cs="Arial"/>
                <w:sz w:val="22"/>
              </w:rPr>
            </w:pPr>
            <w:r>
              <w:rPr>
                <w:rFonts w:ascii="Arial" w:hAnsi="Arial" w:cs="Arial"/>
                <w:sz w:val="22"/>
              </w:rPr>
              <w:t>Financial Management System</w:t>
            </w:r>
          </w:p>
        </w:tc>
        <w:tc>
          <w:tcPr>
            <w:tcW w:w="1617" w:type="dxa"/>
          </w:tcPr>
          <w:p w:rsidR="00F23FFF" w:rsidRDefault="003552BC">
            <w:pPr>
              <w:rPr>
                <w:rFonts w:ascii="Arial" w:hAnsi="Arial" w:cs="Arial"/>
                <w:sz w:val="22"/>
              </w:rPr>
            </w:pPr>
            <w:r>
              <w:rPr>
                <w:rFonts w:ascii="Arial" w:hAnsi="Arial" w:cs="Arial"/>
                <w:sz w:val="22"/>
              </w:rPr>
              <w:t>5 years</w:t>
            </w:r>
          </w:p>
        </w:tc>
      </w:tr>
      <w:tr w:rsidR="00F23FFF">
        <w:trPr>
          <w:jc w:val="center"/>
        </w:trPr>
        <w:tc>
          <w:tcPr>
            <w:tcW w:w="4303" w:type="dxa"/>
          </w:tcPr>
          <w:p w:rsidR="00F23FFF" w:rsidRDefault="003552BC">
            <w:pPr>
              <w:rPr>
                <w:rFonts w:ascii="Arial" w:hAnsi="Arial" w:cs="Arial"/>
                <w:sz w:val="22"/>
              </w:rPr>
            </w:pPr>
            <w:r>
              <w:rPr>
                <w:rFonts w:ascii="Arial" w:hAnsi="Arial" w:cs="Arial"/>
                <w:sz w:val="22"/>
              </w:rPr>
              <w:t>Corporate DIP System</w:t>
            </w:r>
          </w:p>
        </w:tc>
        <w:tc>
          <w:tcPr>
            <w:tcW w:w="1617" w:type="dxa"/>
          </w:tcPr>
          <w:p w:rsidR="00F23FFF" w:rsidRDefault="003552BC">
            <w:pPr>
              <w:rPr>
                <w:rFonts w:ascii="Arial" w:hAnsi="Arial" w:cs="Arial"/>
                <w:sz w:val="22"/>
              </w:rPr>
            </w:pPr>
            <w:r>
              <w:rPr>
                <w:rFonts w:ascii="Arial" w:hAnsi="Arial" w:cs="Arial"/>
                <w:sz w:val="22"/>
              </w:rPr>
              <w:t>5 years</w:t>
            </w:r>
          </w:p>
        </w:tc>
      </w:tr>
      <w:tr w:rsidR="00F23FFF">
        <w:trPr>
          <w:jc w:val="center"/>
        </w:trPr>
        <w:tc>
          <w:tcPr>
            <w:tcW w:w="4303" w:type="dxa"/>
          </w:tcPr>
          <w:p w:rsidR="00F23FFF" w:rsidRDefault="003552BC">
            <w:pPr>
              <w:rPr>
                <w:rFonts w:ascii="Arial" w:hAnsi="Arial" w:cs="Arial"/>
                <w:sz w:val="22"/>
              </w:rPr>
            </w:pPr>
            <w:r>
              <w:rPr>
                <w:rFonts w:ascii="Arial" w:hAnsi="Arial" w:cs="Arial"/>
                <w:sz w:val="22"/>
              </w:rPr>
              <w:t>Other</w:t>
            </w:r>
          </w:p>
        </w:tc>
        <w:tc>
          <w:tcPr>
            <w:tcW w:w="1617" w:type="dxa"/>
          </w:tcPr>
          <w:p w:rsidR="00F23FFF" w:rsidRDefault="00AE5C2C">
            <w:pPr>
              <w:rPr>
                <w:rFonts w:ascii="Arial" w:hAnsi="Arial" w:cs="Arial"/>
                <w:sz w:val="22"/>
              </w:rPr>
            </w:pPr>
            <w:r>
              <w:rPr>
                <w:rFonts w:ascii="Arial" w:hAnsi="Arial" w:cs="Arial"/>
                <w:sz w:val="22"/>
              </w:rPr>
              <w:t xml:space="preserve">up to </w:t>
            </w:r>
            <w:r w:rsidR="003552BC">
              <w:rPr>
                <w:rFonts w:ascii="Arial" w:hAnsi="Arial" w:cs="Arial"/>
                <w:sz w:val="22"/>
              </w:rPr>
              <w:t>5 years</w:t>
            </w:r>
          </w:p>
        </w:tc>
      </w:tr>
    </w:tbl>
    <w:p w:rsidR="00F23FFF" w:rsidRDefault="00F23FFF">
      <w:pPr>
        <w:rPr>
          <w:rFonts w:ascii="Arial" w:hAnsi="Arial" w:cs="Arial"/>
          <w:b/>
          <w:color w:val="000080"/>
          <w:sz w:val="24"/>
        </w:rPr>
      </w:pPr>
    </w:p>
    <w:p w:rsidR="00F23FFF" w:rsidRDefault="003552BC">
      <w:pPr>
        <w:ind w:left="567"/>
        <w:rPr>
          <w:rFonts w:ascii="Arial" w:hAnsi="Arial" w:cs="Arial"/>
          <w:sz w:val="22"/>
        </w:rPr>
      </w:pPr>
      <w:r>
        <w:rPr>
          <w:rFonts w:ascii="Arial" w:hAnsi="Arial" w:cs="Arial"/>
          <w:sz w:val="22"/>
        </w:rPr>
        <w:t>The carrying amount of intangible assets is amortised on a straight-line basis. The amortisation of £</w:t>
      </w:r>
      <w:r w:rsidR="001671C0">
        <w:rPr>
          <w:rFonts w:ascii="Arial" w:hAnsi="Arial" w:cs="Arial"/>
          <w:sz w:val="22"/>
        </w:rPr>
        <w:t>99,777</w:t>
      </w:r>
      <w:r>
        <w:rPr>
          <w:rFonts w:ascii="Arial" w:hAnsi="Arial" w:cs="Arial"/>
          <w:sz w:val="22"/>
        </w:rPr>
        <w:t xml:space="preserve"> charged to revenue in 201</w:t>
      </w:r>
      <w:r w:rsidR="001671C0">
        <w:rPr>
          <w:rFonts w:ascii="Arial" w:hAnsi="Arial" w:cs="Arial"/>
          <w:sz w:val="22"/>
        </w:rPr>
        <w:t>3</w:t>
      </w:r>
      <w:r w:rsidR="008869ED">
        <w:rPr>
          <w:rFonts w:ascii="Arial" w:hAnsi="Arial" w:cs="Arial"/>
          <w:sz w:val="22"/>
        </w:rPr>
        <w:t>-</w:t>
      </w:r>
      <w:r>
        <w:rPr>
          <w:rFonts w:ascii="Arial" w:hAnsi="Arial" w:cs="Arial"/>
          <w:sz w:val="22"/>
        </w:rPr>
        <w:t>1</w:t>
      </w:r>
      <w:r w:rsidR="001671C0">
        <w:rPr>
          <w:rFonts w:ascii="Arial" w:hAnsi="Arial" w:cs="Arial"/>
          <w:sz w:val="22"/>
        </w:rPr>
        <w:t>4</w:t>
      </w:r>
      <w:r>
        <w:rPr>
          <w:rFonts w:ascii="Arial" w:hAnsi="Arial" w:cs="Arial"/>
          <w:sz w:val="22"/>
        </w:rPr>
        <w:t xml:space="preserve"> was charged to the IT administration cost centre and then absorbed as an overhead across all the service headings in the </w:t>
      </w:r>
      <w:r w:rsidR="003860E1">
        <w:rPr>
          <w:rFonts w:ascii="Arial" w:hAnsi="Arial" w:cs="Arial"/>
          <w:sz w:val="22"/>
        </w:rPr>
        <w:t>n</w:t>
      </w:r>
      <w:r>
        <w:rPr>
          <w:rFonts w:ascii="Arial" w:hAnsi="Arial" w:cs="Arial"/>
          <w:sz w:val="22"/>
        </w:rPr>
        <w:t xml:space="preserve">et </w:t>
      </w:r>
      <w:r w:rsidR="003860E1">
        <w:rPr>
          <w:rFonts w:ascii="Arial" w:hAnsi="Arial" w:cs="Arial"/>
          <w:sz w:val="22"/>
        </w:rPr>
        <w:t>e</w:t>
      </w:r>
      <w:r>
        <w:rPr>
          <w:rFonts w:ascii="Arial" w:hAnsi="Arial" w:cs="Arial"/>
          <w:sz w:val="22"/>
        </w:rPr>
        <w:t xml:space="preserve">xpenditure of </w:t>
      </w:r>
      <w:r w:rsidR="003860E1">
        <w:rPr>
          <w:rFonts w:ascii="Arial" w:hAnsi="Arial" w:cs="Arial"/>
          <w:sz w:val="22"/>
        </w:rPr>
        <w:t>s</w:t>
      </w:r>
      <w:r>
        <w:rPr>
          <w:rFonts w:ascii="Arial" w:hAnsi="Arial" w:cs="Arial"/>
          <w:sz w:val="22"/>
        </w:rPr>
        <w:t>ervices. It is not possible to quantify exactly how much of the amortisation is attributable to each service heading.</w:t>
      </w:r>
    </w:p>
    <w:p w:rsidR="00F23FFF" w:rsidRDefault="00F23FFF">
      <w:pPr>
        <w:ind w:left="567"/>
        <w:rPr>
          <w:rFonts w:ascii="Arial" w:hAnsi="Arial" w:cs="Arial"/>
          <w:sz w:val="22"/>
        </w:rPr>
      </w:pPr>
    </w:p>
    <w:p w:rsidR="00F23FFF" w:rsidRDefault="003552BC">
      <w:pPr>
        <w:ind w:left="567"/>
        <w:rPr>
          <w:rFonts w:ascii="Arial" w:hAnsi="Arial" w:cs="Arial"/>
          <w:sz w:val="22"/>
        </w:rPr>
      </w:pPr>
      <w:r>
        <w:rPr>
          <w:rFonts w:ascii="Arial" w:hAnsi="Arial" w:cs="Arial"/>
          <w:sz w:val="22"/>
        </w:rPr>
        <w:t>The movement on Intangible Asset balances during the year is as follows:</w:t>
      </w:r>
    </w:p>
    <w:p w:rsidR="001A6F7B" w:rsidRDefault="001A6F7B">
      <w:pPr>
        <w:ind w:left="567"/>
        <w:rPr>
          <w:rFonts w:ascii="Arial" w:hAnsi="Arial" w:cs="Arial"/>
          <w:sz w:val="22"/>
        </w:rPr>
      </w:pPr>
    </w:p>
    <w:p w:rsidR="001A6F7B" w:rsidRDefault="001A6F7B">
      <w:pPr>
        <w:ind w:left="567"/>
        <w:rPr>
          <w:rFonts w:ascii="Arial" w:hAnsi="Arial" w:cs="Arial"/>
          <w:sz w:val="22"/>
        </w:rPr>
      </w:pPr>
    </w:p>
    <w:p w:rsidR="001A6F7B" w:rsidRDefault="001A6F7B">
      <w:pPr>
        <w:ind w:left="567"/>
        <w:rPr>
          <w:rFonts w:ascii="Arial" w:hAnsi="Arial" w:cs="Arial"/>
          <w:sz w:val="22"/>
        </w:rPr>
      </w:pPr>
    </w:p>
    <w:p w:rsidR="00F3048C" w:rsidRDefault="00F3048C">
      <w:pPr>
        <w:ind w:left="567"/>
        <w:rPr>
          <w:rFonts w:ascii="Arial" w:hAnsi="Arial" w:cs="Arial"/>
          <w:sz w:val="22"/>
        </w:rPr>
      </w:pPr>
    </w:p>
    <w:tbl>
      <w:tblPr>
        <w:tblW w:w="8220" w:type="dxa"/>
        <w:jc w:val="center"/>
        <w:tblInd w:w="93" w:type="dxa"/>
        <w:tblLook w:val="04A0" w:firstRow="1" w:lastRow="0" w:firstColumn="1" w:lastColumn="0" w:noHBand="0" w:noVBand="1"/>
      </w:tblPr>
      <w:tblGrid>
        <w:gridCol w:w="280"/>
        <w:gridCol w:w="400"/>
        <w:gridCol w:w="3460"/>
        <w:gridCol w:w="1520"/>
        <w:gridCol w:w="800"/>
        <w:gridCol w:w="1540"/>
        <w:gridCol w:w="272"/>
      </w:tblGrid>
      <w:tr w:rsidR="00F3048C" w:rsidRPr="00F3048C" w:rsidTr="00F3048C">
        <w:trPr>
          <w:trHeight w:val="165"/>
          <w:jc w:val="center"/>
        </w:trPr>
        <w:tc>
          <w:tcPr>
            <w:tcW w:w="280" w:type="dxa"/>
            <w:tcBorders>
              <w:top w:val="single" w:sz="4" w:space="0" w:color="auto"/>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single" w:sz="4" w:space="0" w:color="auto"/>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 </w:t>
            </w:r>
          </w:p>
        </w:tc>
        <w:tc>
          <w:tcPr>
            <w:tcW w:w="3460" w:type="dxa"/>
            <w:tcBorders>
              <w:top w:val="single" w:sz="4" w:space="0" w:color="auto"/>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 </w:t>
            </w:r>
          </w:p>
        </w:tc>
        <w:tc>
          <w:tcPr>
            <w:tcW w:w="1520" w:type="dxa"/>
            <w:vMerge w:val="restart"/>
            <w:tcBorders>
              <w:top w:val="single" w:sz="4" w:space="0" w:color="auto"/>
              <w:left w:val="nil"/>
              <w:bottom w:val="nil"/>
              <w:right w:val="nil"/>
            </w:tcBorders>
            <w:shd w:val="clear" w:color="auto" w:fill="auto"/>
            <w:vAlign w:val="bottom"/>
            <w:hideMark/>
          </w:tcPr>
          <w:p w:rsidR="00F3048C" w:rsidRPr="00F3048C" w:rsidRDefault="00F3048C" w:rsidP="00F3048C">
            <w:pPr>
              <w:jc w:val="center"/>
              <w:rPr>
                <w:rFonts w:ascii="Arial" w:hAnsi="Arial" w:cs="Arial"/>
                <w:b/>
                <w:bCs/>
                <w:sz w:val="22"/>
                <w:szCs w:val="22"/>
                <w:lang w:eastAsia="en-GB"/>
              </w:rPr>
            </w:pPr>
            <w:r w:rsidRPr="00F3048C">
              <w:rPr>
                <w:rFonts w:ascii="Arial" w:hAnsi="Arial" w:cs="Arial"/>
                <w:b/>
                <w:bCs/>
                <w:sz w:val="22"/>
                <w:szCs w:val="22"/>
                <w:lang w:eastAsia="en-GB"/>
              </w:rPr>
              <w:t>Intangible Assets</w:t>
            </w:r>
          </w:p>
        </w:tc>
        <w:tc>
          <w:tcPr>
            <w:tcW w:w="800" w:type="dxa"/>
            <w:tcBorders>
              <w:top w:val="single" w:sz="4" w:space="0" w:color="auto"/>
              <w:left w:val="nil"/>
              <w:bottom w:val="nil"/>
              <w:right w:val="nil"/>
            </w:tcBorders>
            <w:shd w:val="clear" w:color="auto" w:fill="auto"/>
            <w:noWrap/>
            <w:vAlign w:val="bottom"/>
            <w:hideMark/>
          </w:tcPr>
          <w:p w:rsidR="00F3048C" w:rsidRPr="00F3048C" w:rsidRDefault="00F3048C" w:rsidP="00F3048C">
            <w:pPr>
              <w:jc w:val="center"/>
              <w:rPr>
                <w:rFonts w:ascii="Arial" w:hAnsi="Arial" w:cs="Arial"/>
                <w:b/>
                <w:bCs/>
                <w:sz w:val="22"/>
                <w:szCs w:val="22"/>
                <w:lang w:eastAsia="en-GB"/>
              </w:rPr>
            </w:pPr>
            <w:r w:rsidRPr="00F3048C">
              <w:rPr>
                <w:rFonts w:ascii="Arial" w:hAnsi="Arial" w:cs="Arial"/>
                <w:b/>
                <w:bCs/>
                <w:sz w:val="22"/>
                <w:szCs w:val="22"/>
                <w:lang w:eastAsia="en-GB"/>
              </w:rPr>
              <w:t> </w:t>
            </w:r>
          </w:p>
        </w:tc>
        <w:tc>
          <w:tcPr>
            <w:tcW w:w="1540" w:type="dxa"/>
            <w:vMerge w:val="restart"/>
            <w:tcBorders>
              <w:top w:val="single" w:sz="4" w:space="0" w:color="auto"/>
              <w:left w:val="nil"/>
              <w:bottom w:val="nil"/>
              <w:right w:val="nil"/>
            </w:tcBorders>
            <w:shd w:val="clear" w:color="auto" w:fill="auto"/>
            <w:vAlign w:val="bottom"/>
            <w:hideMark/>
          </w:tcPr>
          <w:p w:rsidR="00F3048C" w:rsidRPr="00F3048C" w:rsidRDefault="00F3048C" w:rsidP="00F3048C">
            <w:pPr>
              <w:jc w:val="center"/>
              <w:rPr>
                <w:rFonts w:ascii="Arial" w:hAnsi="Arial" w:cs="Arial"/>
                <w:b/>
                <w:bCs/>
                <w:sz w:val="22"/>
                <w:szCs w:val="22"/>
                <w:lang w:eastAsia="en-GB"/>
              </w:rPr>
            </w:pPr>
            <w:r w:rsidRPr="00F3048C">
              <w:rPr>
                <w:rFonts w:ascii="Arial" w:hAnsi="Arial" w:cs="Arial"/>
                <w:b/>
                <w:bCs/>
                <w:sz w:val="22"/>
                <w:szCs w:val="22"/>
                <w:lang w:eastAsia="en-GB"/>
              </w:rPr>
              <w:t>Intangible Assets</w:t>
            </w:r>
          </w:p>
        </w:tc>
        <w:tc>
          <w:tcPr>
            <w:tcW w:w="220" w:type="dxa"/>
            <w:tcBorders>
              <w:top w:val="single" w:sz="4" w:space="0" w:color="auto"/>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00"/>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vMerge/>
            <w:tcBorders>
              <w:top w:val="single" w:sz="4" w:space="0" w:color="auto"/>
              <w:left w:val="nil"/>
              <w:bottom w:val="nil"/>
              <w:right w:val="nil"/>
            </w:tcBorders>
            <w:vAlign w:val="center"/>
            <w:hideMark/>
          </w:tcPr>
          <w:p w:rsidR="00F3048C" w:rsidRPr="00F3048C" w:rsidRDefault="00F3048C" w:rsidP="00F3048C">
            <w:pPr>
              <w:rPr>
                <w:rFonts w:ascii="Arial" w:hAnsi="Arial" w:cs="Arial"/>
                <w:b/>
                <w:bCs/>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jc w:val="center"/>
              <w:rPr>
                <w:rFonts w:ascii="Arial" w:hAnsi="Arial" w:cs="Arial"/>
                <w:b/>
                <w:bCs/>
                <w:sz w:val="22"/>
                <w:szCs w:val="22"/>
                <w:lang w:eastAsia="en-GB"/>
              </w:rPr>
            </w:pPr>
          </w:p>
        </w:tc>
        <w:tc>
          <w:tcPr>
            <w:tcW w:w="1540" w:type="dxa"/>
            <w:vMerge/>
            <w:tcBorders>
              <w:top w:val="single" w:sz="4" w:space="0" w:color="auto"/>
              <w:left w:val="nil"/>
              <w:bottom w:val="nil"/>
              <w:right w:val="nil"/>
            </w:tcBorders>
            <w:vAlign w:val="center"/>
            <w:hideMark/>
          </w:tcPr>
          <w:p w:rsidR="00F3048C" w:rsidRPr="00F3048C" w:rsidRDefault="00F3048C" w:rsidP="00F3048C">
            <w:pPr>
              <w:rPr>
                <w:rFonts w:ascii="Arial" w:hAnsi="Arial" w:cs="Arial"/>
                <w:b/>
                <w:bCs/>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00"/>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vMerge/>
            <w:tcBorders>
              <w:top w:val="single" w:sz="4" w:space="0" w:color="auto"/>
              <w:left w:val="nil"/>
              <w:bottom w:val="nil"/>
              <w:right w:val="nil"/>
            </w:tcBorders>
            <w:vAlign w:val="center"/>
            <w:hideMark/>
          </w:tcPr>
          <w:p w:rsidR="00F3048C" w:rsidRPr="00F3048C" w:rsidRDefault="00F3048C" w:rsidP="00F3048C">
            <w:pPr>
              <w:rPr>
                <w:rFonts w:ascii="Arial" w:hAnsi="Arial" w:cs="Arial"/>
                <w:b/>
                <w:bCs/>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jc w:val="center"/>
              <w:rPr>
                <w:rFonts w:ascii="Arial" w:hAnsi="Arial" w:cs="Arial"/>
                <w:b/>
                <w:bCs/>
                <w:sz w:val="22"/>
                <w:szCs w:val="22"/>
                <w:lang w:eastAsia="en-GB"/>
              </w:rPr>
            </w:pPr>
          </w:p>
        </w:tc>
        <w:tc>
          <w:tcPr>
            <w:tcW w:w="1540" w:type="dxa"/>
            <w:vMerge/>
            <w:tcBorders>
              <w:top w:val="single" w:sz="4" w:space="0" w:color="auto"/>
              <w:left w:val="nil"/>
              <w:bottom w:val="nil"/>
              <w:right w:val="nil"/>
            </w:tcBorders>
            <w:vAlign w:val="center"/>
            <w:hideMark/>
          </w:tcPr>
          <w:p w:rsidR="00F3048C" w:rsidRPr="00F3048C" w:rsidRDefault="00F3048C" w:rsidP="00F3048C">
            <w:pPr>
              <w:rPr>
                <w:rFonts w:ascii="Arial" w:hAnsi="Arial" w:cs="Arial"/>
                <w:b/>
                <w:bCs/>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1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 </w:t>
            </w:r>
          </w:p>
        </w:tc>
        <w:tc>
          <w:tcPr>
            <w:tcW w:w="3460" w:type="dxa"/>
            <w:tcBorders>
              <w:top w:val="nil"/>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 </w:t>
            </w:r>
          </w:p>
        </w:tc>
        <w:tc>
          <w:tcPr>
            <w:tcW w:w="1520" w:type="dxa"/>
            <w:tcBorders>
              <w:top w:val="nil"/>
              <w:left w:val="nil"/>
              <w:bottom w:val="single" w:sz="8" w:space="0" w:color="auto"/>
              <w:right w:val="nil"/>
            </w:tcBorders>
            <w:shd w:val="clear" w:color="auto" w:fill="auto"/>
            <w:noWrap/>
            <w:vAlign w:val="bottom"/>
            <w:hideMark/>
          </w:tcPr>
          <w:p w:rsidR="00F3048C" w:rsidRDefault="00F3048C" w:rsidP="00F3048C">
            <w:pPr>
              <w:jc w:val="center"/>
              <w:rPr>
                <w:rFonts w:ascii="Arial" w:hAnsi="Arial" w:cs="Arial"/>
                <w:b/>
                <w:bCs/>
                <w:sz w:val="22"/>
                <w:szCs w:val="22"/>
                <w:lang w:eastAsia="en-GB"/>
              </w:rPr>
            </w:pPr>
            <w:r w:rsidRPr="00F3048C">
              <w:rPr>
                <w:rFonts w:ascii="Arial" w:hAnsi="Arial" w:cs="Arial"/>
                <w:b/>
                <w:bCs/>
                <w:sz w:val="22"/>
                <w:szCs w:val="22"/>
                <w:lang w:eastAsia="en-GB"/>
              </w:rPr>
              <w:t>2013-14</w:t>
            </w:r>
          </w:p>
          <w:p w:rsidR="003860E1" w:rsidRPr="00F3048C" w:rsidRDefault="003860E1" w:rsidP="00F3048C">
            <w:pPr>
              <w:jc w:val="center"/>
              <w:rPr>
                <w:rFonts w:ascii="Arial" w:hAnsi="Arial" w:cs="Arial"/>
                <w:b/>
                <w:bCs/>
                <w:sz w:val="22"/>
                <w:szCs w:val="22"/>
                <w:lang w:eastAsia="en-GB"/>
              </w:rPr>
            </w:pPr>
            <w:r>
              <w:rPr>
                <w:rFonts w:ascii="Arial" w:hAnsi="Arial" w:cs="Arial"/>
                <w:b/>
                <w:bCs/>
                <w:sz w:val="22"/>
                <w:szCs w:val="22"/>
                <w:lang w:eastAsia="en-GB"/>
              </w:rPr>
              <w:t>£</w:t>
            </w:r>
          </w:p>
        </w:tc>
        <w:tc>
          <w:tcPr>
            <w:tcW w:w="800" w:type="dxa"/>
            <w:tcBorders>
              <w:top w:val="nil"/>
              <w:left w:val="nil"/>
              <w:bottom w:val="single" w:sz="8" w:space="0" w:color="auto"/>
              <w:right w:val="nil"/>
            </w:tcBorders>
            <w:shd w:val="clear" w:color="auto" w:fill="auto"/>
            <w:noWrap/>
            <w:vAlign w:val="bottom"/>
            <w:hideMark/>
          </w:tcPr>
          <w:p w:rsidR="00F3048C" w:rsidRPr="00F3048C" w:rsidRDefault="00F3048C" w:rsidP="00F3048C">
            <w:pPr>
              <w:jc w:val="center"/>
              <w:rPr>
                <w:rFonts w:ascii="Arial" w:hAnsi="Arial" w:cs="Arial"/>
                <w:b/>
                <w:bCs/>
                <w:sz w:val="22"/>
                <w:szCs w:val="22"/>
                <w:lang w:eastAsia="en-GB"/>
              </w:rPr>
            </w:pPr>
            <w:r w:rsidRPr="00F3048C">
              <w:rPr>
                <w:rFonts w:ascii="Arial" w:hAnsi="Arial" w:cs="Arial"/>
                <w:b/>
                <w:bCs/>
                <w:sz w:val="22"/>
                <w:szCs w:val="22"/>
                <w:lang w:eastAsia="en-GB"/>
              </w:rPr>
              <w:t> </w:t>
            </w:r>
          </w:p>
        </w:tc>
        <w:tc>
          <w:tcPr>
            <w:tcW w:w="1540" w:type="dxa"/>
            <w:tcBorders>
              <w:top w:val="nil"/>
              <w:left w:val="nil"/>
              <w:bottom w:val="single" w:sz="8" w:space="0" w:color="auto"/>
              <w:right w:val="nil"/>
            </w:tcBorders>
            <w:shd w:val="clear" w:color="auto" w:fill="auto"/>
            <w:noWrap/>
            <w:vAlign w:val="bottom"/>
            <w:hideMark/>
          </w:tcPr>
          <w:p w:rsidR="00F3048C" w:rsidRDefault="00F3048C" w:rsidP="00F3048C">
            <w:pPr>
              <w:jc w:val="center"/>
              <w:rPr>
                <w:rFonts w:ascii="Arial" w:hAnsi="Arial" w:cs="Arial"/>
                <w:b/>
                <w:bCs/>
                <w:sz w:val="22"/>
                <w:szCs w:val="22"/>
                <w:lang w:eastAsia="en-GB"/>
              </w:rPr>
            </w:pPr>
            <w:r w:rsidRPr="00F3048C">
              <w:rPr>
                <w:rFonts w:ascii="Arial" w:hAnsi="Arial" w:cs="Arial"/>
                <w:b/>
                <w:bCs/>
                <w:sz w:val="22"/>
                <w:szCs w:val="22"/>
                <w:lang w:eastAsia="en-GB"/>
              </w:rPr>
              <w:t>2012-13</w:t>
            </w:r>
          </w:p>
          <w:p w:rsidR="003860E1" w:rsidRPr="00F3048C" w:rsidRDefault="003860E1" w:rsidP="00F3048C">
            <w:pPr>
              <w:jc w:val="center"/>
              <w:rPr>
                <w:rFonts w:ascii="Arial" w:hAnsi="Arial" w:cs="Arial"/>
                <w:b/>
                <w:bCs/>
                <w:sz w:val="22"/>
                <w:szCs w:val="22"/>
                <w:lang w:eastAsia="en-GB"/>
              </w:rPr>
            </w:pPr>
            <w:r>
              <w:rPr>
                <w:rFonts w:ascii="Arial" w:hAnsi="Arial" w:cs="Arial"/>
                <w:b/>
                <w:bCs/>
                <w:sz w:val="22"/>
                <w:szCs w:val="22"/>
                <w:lang w:eastAsia="en-GB"/>
              </w:rPr>
              <w:t>£</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00"/>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3860" w:type="dxa"/>
            <w:gridSpan w:val="2"/>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b/>
                <w:bCs/>
                <w:sz w:val="22"/>
                <w:szCs w:val="22"/>
                <w:lang w:eastAsia="en-GB"/>
              </w:rPr>
            </w:pPr>
            <w:r w:rsidRPr="00F3048C">
              <w:rPr>
                <w:rFonts w:ascii="Arial" w:hAnsi="Arial" w:cs="Arial"/>
                <w:b/>
                <w:bCs/>
                <w:sz w:val="22"/>
                <w:szCs w:val="22"/>
                <w:lang w:eastAsia="en-GB"/>
              </w:rPr>
              <w:t>Balance at start of year</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Gross carrying amount</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 xml:space="preserve">573,664 </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 xml:space="preserve">497,554 </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accumulated amortisation</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(265,712)</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(188,708)</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00"/>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3860" w:type="dxa"/>
            <w:gridSpan w:val="2"/>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b/>
                <w:bCs/>
                <w:sz w:val="22"/>
                <w:szCs w:val="22"/>
                <w:lang w:eastAsia="en-GB"/>
              </w:rPr>
            </w:pPr>
            <w:r w:rsidRPr="00F3048C">
              <w:rPr>
                <w:rFonts w:ascii="Arial" w:hAnsi="Arial" w:cs="Arial"/>
                <w:b/>
                <w:bCs/>
                <w:sz w:val="22"/>
                <w:szCs w:val="22"/>
                <w:lang w:eastAsia="en-GB"/>
              </w:rPr>
              <w:t>Net carrying amount at start of year</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b/>
                <w:bCs/>
                <w:sz w:val="22"/>
                <w:szCs w:val="22"/>
                <w:lang w:eastAsia="en-GB"/>
              </w:rPr>
            </w:pPr>
            <w:r w:rsidRPr="00F3048C">
              <w:rPr>
                <w:rFonts w:ascii="Arial" w:hAnsi="Arial" w:cs="Arial"/>
                <w:b/>
                <w:bCs/>
                <w:sz w:val="22"/>
                <w:szCs w:val="22"/>
                <w:lang w:eastAsia="en-GB"/>
              </w:rPr>
              <w:t xml:space="preserve">307,952 </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b/>
                <w:bCs/>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b/>
                <w:bCs/>
                <w:sz w:val="22"/>
                <w:szCs w:val="22"/>
                <w:lang w:eastAsia="en-GB"/>
              </w:rPr>
            </w:pPr>
            <w:r w:rsidRPr="00F3048C">
              <w:rPr>
                <w:rFonts w:ascii="Arial" w:hAnsi="Arial" w:cs="Arial"/>
                <w:b/>
                <w:bCs/>
                <w:sz w:val="22"/>
                <w:szCs w:val="22"/>
                <w:lang w:eastAsia="en-GB"/>
              </w:rPr>
              <w:t xml:space="preserve">308,846 </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3860" w:type="dxa"/>
            <w:gridSpan w:val="2"/>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Additions</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Purchases</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 xml:space="preserve">76,069 </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 xml:space="preserve">76,110 </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3860" w:type="dxa"/>
            <w:gridSpan w:val="2"/>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Amortisation for the period</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(99,777)</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(77,004)</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00"/>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1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b/>
                <w:bCs/>
                <w:lang w:eastAsia="en-GB"/>
              </w:rPr>
            </w:pPr>
            <w:r w:rsidRPr="00F3048C">
              <w:rPr>
                <w:rFonts w:ascii="Arial" w:hAnsi="Arial" w:cs="Arial"/>
                <w:b/>
                <w:bCs/>
                <w:lang w:eastAsia="en-GB"/>
              </w:rPr>
              <w:t> </w:t>
            </w:r>
          </w:p>
        </w:tc>
        <w:tc>
          <w:tcPr>
            <w:tcW w:w="3860" w:type="dxa"/>
            <w:gridSpan w:val="2"/>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b/>
                <w:bCs/>
                <w:sz w:val="22"/>
                <w:szCs w:val="22"/>
                <w:lang w:eastAsia="en-GB"/>
              </w:rPr>
            </w:pPr>
            <w:r w:rsidRPr="00F3048C">
              <w:rPr>
                <w:rFonts w:ascii="Arial" w:hAnsi="Arial" w:cs="Arial"/>
                <w:b/>
                <w:bCs/>
                <w:sz w:val="22"/>
                <w:szCs w:val="22"/>
                <w:lang w:eastAsia="en-GB"/>
              </w:rPr>
              <w:t>Net carrying amount at end of year</w:t>
            </w:r>
          </w:p>
        </w:tc>
        <w:tc>
          <w:tcPr>
            <w:tcW w:w="152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jc w:val="right"/>
              <w:rPr>
                <w:rFonts w:ascii="Arial" w:hAnsi="Arial" w:cs="Arial"/>
                <w:b/>
                <w:bCs/>
                <w:sz w:val="22"/>
                <w:szCs w:val="22"/>
                <w:lang w:eastAsia="en-GB"/>
              </w:rPr>
            </w:pPr>
            <w:r w:rsidRPr="00F3048C">
              <w:rPr>
                <w:rFonts w:ascii="Arial" w:hAnsi="Arial" w:cs="Arial"/>
                <w:b/>
                <w:bCs/>
                <w:sz w:val="22"/>
                <w:szCs w:val="22"/>
                <w:lang w:eastAsia="en-GB"/>
              </w:rPr>
              <w:t xml:space="preserve">284,244 </w:t>
            </w:r>
          </w:p>
        </w:tc>
        <w:tc>
          <w:tcPr>
            <w:tcW w:w="80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b/>
                <w:bCs/>
                <w:sz w:val="22"/>
                <w:szCs w:val="22"/>
                <w:lang w:eastAsia="en-GB"/>
              </w:rPr>
            </w:pPr>
            <w:r w:rsidRPr="00F3048C">
              <w:rPr>
                <w:rFonts w:ascii="Arial" w:hAnsi="Arial" w:cs="Arial"/>
                <w:b/>
                <w:bCs/>
                <w:sz w:val="22"/>
                <w:szCs w:val="22"/>
                <w:lang w:eastAsia="en-GB"/>
              </w:rPr>
              <w:t> </w:t>
            </w:r>
          </w:p>
        </w:tc>
        <w:tc>
          <w:tcPr>
            <w:tcW w:w="154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jc w:val="right"/>
              <w:rPr>
                <w:rFonts w:ascii="Arial" w:hAnsi="Arial" w:cs="Arial"/>
                <w:b/>
                <w:bCs/>
                <w:sz w:val="22"/>
                <w:szCs w:val="22"/>
                <w:lang w:eastAsia="en-GB"/>
              </w:rPr>
            </w:pPr>
            <w:r w:rsidRPr="00F3048C">
              <w:rPr>
                <w:rFonts w:ascii="Arial" w:hAnsi="Arial" w:cs="Arial"/>
                <w:b/>
                <w:bCs/>
                <w:sz w:val="22"/>
                <w:szCs w:val="22"/>
                <w:lang w:eastAsia="en-GB"/>
              </w:rPr>
              <w:t xml:space="preserve">307,952 </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b/>
                <w:bCs/>
                <w:lang w:eastAsia="en-GB"/>
              </w:rPr>
            </w:pPr>
            <w:r w:rsidRPr="00F3048C">
              <w:rPr>
                <w:rFonts w:ascii="Arial" w:hAnsi="Arial" w:cs="Arial"/>
                <w:b/>
                <w:bCs/>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3860" w:type="dxa"/>
            <w:gridSpan w:val="2"/>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Comprising:</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Gross carrying amounts</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 xml:space="preserve">649,733 </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 xml:space="preserve">573,664 </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8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Accumulated depreciation</w:t>
            </w:r>
          </w:p>
        </w:tc>
        <w:tc>
          <w:tcPr>
            <w:tcW w:w="152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(365,489)</w:t>
            </w: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jc w:val="right"/>
              <w:rPr>
                <w:rFonts w:ascii="Arial" w:hAnsi="Arial" w:cs="Arial"/>
                <w:sz w:val="22"/>
                <w:szCs w:val="22"/>
                <w:lang w:eastAsia="en-GB"/>
              </w:rPr>
            </w:pPr>
            <w:r w:rsidRPr="00F3048C">
              <w:rPr>
                <w:rFonts w:ascii="Arial" w:hAnsi="Arial" w:cs="Arial"/>
                <w:sz w:val="22"/>
                <w:szCs w:val="22"/>
                <w:lang w:eastAsia="en-GB"/>
              </w:rPr>
              <w:t>(265,712)</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00"/>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346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2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80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1540" w:type="dxa"/>
            <w:tcBorders>
              <w:top w:val="nil"/>
              <w:left w:val="nil"/>
              <w:bottom w:val="nil"/>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315"/>
          <w:jc w:val="center"/>
        </w:trPr>
        <w:tc>
          <w:tcPr>
            <w:tcW w:w="280" w:type="dxa"/>
            <w:tcBorders>
              <w:top w:val="nil"/>
              <w:left w:val="single" w:sz="4" w:space="0" w:color="auto"/>
              <w:bottom w:val="nil"/>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 </w:t>
            </w:r>
          </w:p>
        </w:tc>
        <w:tc>
          <w:tcPr>
            <w:tcW w:w="346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sz w:val="22"/>
                <w:szCs w:val="22"/>
                <w:lang w:eastAsia="en-GB"/>
              </w:rPr>
            </w:pPr>
            <w:r w:rsidRPr="00F3048C">
              <w:rPr>
                <w:rFonts w:ascii="Arial" w:hAnsi="Arial" w:cs="Arial"/>
                <w:sz w:val="22"/>
                <w:szCs w:val="22"/>
                <w:lang w:eastAsia="en-GB"/>
              </w:rPr>
              <w:t> </w:t>
            </w:r>
          </w:p>
        </w:tc>
        <w:tc>
          <w:tcPr>
            <w:tcW w:w="152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jc w:val="right"/>
              <w:rPr>
                <w:rFonts w:ascii="Arial" w:hAnsi="Arial" w:cs="Arial"/>
                <w:b/>
                <w:bCs/>
                <w:sz w:val="22"/>
                <w:szCs w:val="22"/>
                <w:lang w:eastAsia="en-GB"/>
              </w:rPr>
            </w:pPr>
            <w:r w:rsidRPr="00F3048C">
              <w:rPr>
                <w:rFonts w:ascii="Arial" w:hAnsi="Arial" w:cs="Arial"/>
                <w:b/>
                <w:bCs/>
                <w:sz w:val="22"/>
                <w:szCs w:val="22"/>
                <w:lang w:eastAsia="en-GB"/>
              </w:rPr>
              <w:t xml:space="preserve">284,244 </w:t>
            </w:r>
          </w:p>
        </w:tc>
        <w:tc>
          <w:tcPr>
            <w:tcW w:w="80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rPr>
                <w:rFonts w:ascii="Arial" w:hAnsi="Arial" w:cs="Arial"/>
                <w:b/>
                <w:bCs/>
                <w:sz w:val="22"/>
                <w:szCs w:val="22"/>
                <w:lang w:eastAsia="en-GB"/>
              </w:rPr>
            </w:pPr>
            <w:r w:rsidRPr="00F3048C">
              <w:rPr>
                <w:rFonts w:ascii="Arial" w:hAnsi="Arial" w:cs="Arial"/>
                <w:b/>
                <w:bCs/>
                <w:sz w:val="22"/>
                <w:szCs w:val="22"/>
                <w:lang w:eastAsia="en-GB"/>
              </w:rPr>
              <w:t> </w:t>
            </w:r>
          </w:p>
        </w:tc>
        <w:tc>
          <w:tcPr>
            <w:tcW w:w="1540" w:type="dxa"/>
            <w:tcBorders>
              <w:top w:val="single" w:sz="8" w:space="0" w:color="auto"/>
              <w:left w:val="nil"/>
              <w:bottom w:val="single" w:sz="8" w:space="0" w:color="auto"/>
              <w:right w:val="nil"/>
            </w:tcBorders>
            <w:shd w:val="clear" w:color="auto" w:fill="auto"/>
            <w:noWrap/>
            <w:vAlign w:val="bottom"/>
            <w:hideMark/>
          </w:tcPr>
          <w:p w:rsidR="00F3048C" w:rsidRPr="00F3048C" w:rsidRDefault="00F3048C" w:rsidP="00F3048C">
            <w:pPr>
              <w:jc w:val="right"/>
              <w:rPr>
                <w:rFonts w:ascii="Arial" w:hAnsi="Arial" w:cs="Arial"/>
                <w:b/>
                <w:bCs/>
                <w:sz w:val="22"/>
                <w:szCs w:val="22"/>
                <w:lang w:eastAsia="en-GB"/>
              </w:rPr>
            </w:pPr>
            <w:r w:rsidRPr="00F3048C">
              <w:rPr>
                <w:rFonts w:ascii="Arial" w:hAnsi="Arial" w:cs="Arial"/>
                <w:b/>
                <w:bCs/>
                <w:sz w:val="22"/>
                <w:szCs w:val="22"/>
                <w:lang w:eastAsia="en-GB"/>
              </w:rPr>
              <w:t xml:space="preserve">307,952 </w:t>
            </w:r>
          </w:p>
        </w:tc>
        <w:tc>
          <w:tcPr>
            <w:tcW w:w="220" w:type="dxa"/>
            <w:tcBorders>
              <w:top w:val="nil"/>
              <w:left w:val="nil"/>
              <w:bottom w:val="nil"/>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r w:rsidR="00F3048C" w:rsidRPr="00F3048C" w:rsidTr="00F3048C">
        <w:trPr>
          <w:trHeight w:val="225"/>
          <w:jc w:val="center"/>
        </w:trPr>
        <w:tc>
          <w:tcPr>
            <w:tcW w:w="280" w:type="dxa"/>
            <w:tcBorders>
              <w:top w:val="nil"/>
              <w:left w:val="single" w:sz="4" w:space="0" w:color="auto"/>
              <w:bottom w:val="single" w:sz="4" w:space="0" w:color="auto"/>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400" w:type="dxa"/>
            <w:tcBorders>
              <w:top w:val="nil"/>
              <w:left w:val="nil"/>
              <w:bottom w:val="single" w:sz="4" w:space="0" w:color="auto"/>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3460" w:type="dxa"/>
            <w:tcBorders>
              <w:top w:val="nil"/>
              <w:left w:val="nil"/>
              <w:bottom w:val="single" w:sz="4" w:space="0" w:color="auto"/>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1520" w:type="dxa"/>
            <w:tcBorders>
              <w:top w:val="nil"/>
              <w:left w:val="nil"/>
              <w:bottom w:val="single" w:sz="4" w:space="0" w:color="auto"/>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800" w:type="dxa"/>
            <w:tcBorders>
              <w:top w:val="nil"/>
              <w:left w:val="nil"/>
              <w:bottom w:val="single" w:sz="4" w:space="0" w:color="auto"/>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1540" w:type="dxa"/>
            <w:tcBorders>
              <w:top w:val="nil"/>
              <w:left w:val="nil"/>
              <w:bottom w:val="single" w:sz="4" w:space="0" w:color="auto"/>
              <w:right w:val="nil"/>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c>
          <w:tcPr>
            <w:tcW w:w="220" w:type="dxa"/>
            <w:tcBorders>
              <w:top w:val="nil"/>
              <w:left w:val="nil"/>
              <w:bottom w:val="single" w:sz="4" w:space="0" w:color="auto"/>
              <w:right w:val="single" w:sz="4" w:space="0" w:color="auto"/>
            </w:tcBorders>
            <w:shd w:val="clear" w:color="auto" w:fill="auto"/>
            <w:noWrap/>
            <w:vAlign w:val="bottom"/>
            <w:hideMark/>
          </w:tcPr>
          <w:p w:rsidR="00F3048C" w:rsidRPr="00F3048C" w:rsidRDefault="00F3048C" w:rsidP="00F3048C">
            <w:pPr>
              <w:rPr>
                <w:rFonts w:ascii="Arial" w:hAnsi="Arial" w:cs="Arial"/>
                <w:lang w:eastAsia="en-GB"/>
              </w:rPr>
            </w:pPr>
            <w:r w:rsidRPr="00F3048C">
              <w:rPr>
                <w:rFonts w:ascii="Arial" w:hAnsi="Arial" w:cs="Arial"/>
                <w:lang w:eastAsia="en-GB"/>
              </w:rPr>
              <w:t> </w:t>
            </w:r>
          </w:p>
        </w:tc>
      </w:tr>
    </w:tbl>
    <w:p w:rsidR="00F23FFF" w:rsidRDefault="00F23FFF">
      <w:pPr>
        <w:rPr>
          <w:rFonts w:ascii="Arial" w:hAnsi="Arial" w:cs="Arial"/>
          <w:b/>
          <w:color w:val="000080"/>
          <w:sz w:val="24"/>
        </w:rPr>
      </w:pPr>
    </w:p>
    <w:p w:rsidR="00261941" w:rsidRDefault="00261941">
      <w:pPr>
        <w:rPr>
          <w:rFonts w:ascii="Arial" w:hAnsi="Arial" w:cs="Arial"/>
          <w:b/>
          <w:color w:val="000080"/>
          <w:sz w:val="24"/>
        </w:rPr>
      </w:pPr>
    </w:p>
    <w:p w:rsidR="001A6F7B" w:rsidRDefault="001A6F7B">
      <w:pPr>
        <w:rPr>
          <w:rFonts w:ascii="Arial" w:hAnsi="Arial" w:cs="Arial"/>
          <w:b/>
          <w:color w:val="000080"/>
          <w:sz w:val="24"/>
        </w:rPr>
      </w:pPr>
    </w:p>
    <w:p w:rsidR="001A6F7B" w:rsidRDefault="001A6F7B">
      <w:pPr>
        <w:rPr>
          <w:rFonts w:ascii="Arial" w:hAnsi="Arial" w:cs="Arial"/>
          <w:b/>
          <w:color w:val="000080"/>
          <w:sz w:val="24"/>
        </w:rPr>
      </w:pPr>
    </w:p>
    <w:p w:rsidR="00F23FFF" w:rsidRDefault="003552BC" w:rsidP="00925212">
      <w:pPr>
        <w:pStyle w:val="Heading1"/>
        <w:rPr>
          <w:rFonts w:ascii="Arial" w:hAnsi="Arial" w:cs="Arial"/>
          <w:b/>
          <w:color w:val="000080"/>
        </w:rPr>
      </w:pPr>
      <w:r>
        <w:rPr>
          <w:rFonts w:ascii="Arial" w:hAnsi="Arial" w:cs="Arial"/>
          <w:b/>
          <w:color w:val="000080"/>
        </w:rPr>
        <w:t>2</w:t>
      </w:r>
      <w:r w:rsidR="00672827">
        <w:rPr>
          <w:rFonts w:ascii="Arial" w:hAnsi="Arial" w:cs="Arial"/>
          <w:b/>
          <w:color w:val="000080"/>
        </w:rPr>
        <w:t>8</w:t>
      </w:r>
      <w:r>
        <w:rPr>
          <w:rFonts w:ascii="Arial" w:hAnsi="Arial" w:cs="Arial"/>
          <w:b/>
          <w:color w:val="000080"/>
        </w:rPr>
        <w:t xml:space="preserve">    Impairment Losses</w:t>
      </w:r>
    </w:p>
    <w:p w:rsidR="00925212" w:rsidRPr="00925212" w:rsidRDefault="00925212" w:rsidP="00925212"/>
    <w:p w:rsidR="00F23FFF" w:rsidRDefault="003552BC">
      <w:pPr>
        <w:pStyle w:val="xl50"/>
        <w:tabs>
          <w:tab w:val="left" w:pos="567"/>
        </w:tabs>
        <w:spacing w:before="0" w:beforeAutospacing="0" w:after="0" w:afterAutospacing="0"/>
        <w:ind w:left="567" w:hanging="567"/>
        <w:rPr>
          <w:rFonts w:eastAsia="Times New Roman"/>
          <w:b w:val="0"/>
          <w:color w:val="auto"/>
          <w:sz w:val="22"/>
          <w:szCs w:val="20"/>
        </w:rPr>
      </w:pPr>
      <w:r>
        <w:rPr>
          <w:rFonts w:eastAsia="Times New Roman"/>
          <w:b w:val="0"/>
          <w:color w:val="auto"/>
          <w:sz w:val="22"/>
          <w:szCs w:val="20"/>
        </w:rPr>
        <w:tab/>
        <w:t xml:space="preserve">Impairment is first charged to the Revaluation Reserve where an existing credit is available, the balance being recognised and charged to the surplus or deficit on the provision of services. </w:t>
      </w:r>
      <w:r w:rsidR="00925212">
        <w:rPr>
          <w:rFonts w:eastAsia="Times New Roman"/>
          <w:b w:val="0"/>
          <w:color w:val="auto"/>
          <w:sz w:val="22"/>
          <w:szCs w:val="20"/>
        </w:rPr>
        <w:t>R</w:t>
      </w:r>
      <w:r>
        <w:rPr>
          <w:rFonts w:eastAsia="Times New Roman"/>
          <w:b w:val="0"/>
          <w:color w:val="auto"/>
          <w:sz w:val="22"/>
          <w:szCs w:val="20"/>
        </w:rPr>
        <w:t xml:space="preserve">evaluation impairment </w:t>
      </w:r>
      <w:r w:rsidR="00925212">
        <w:rPr>
          <w:rFonts w:eastAsia="Times New Roman"/>
          <w:b w:val="0"/>
          <w:color w:val="auto"/>
          <w:sz w:val="22"/>
          <w:szCs w:val="20"/>
        </w:rPr>
        <w:t xml:space="preserve">incurred during the year </w:t>
      </w:r>
      <w:r>
        <w:rPr>
          <w:rFonts w:eastAsia="Times New Roman"/>
          <w:b w:val="0"/>
          <w:color w:val="auto"/>
          <w:sz w:val="22"/>
          <w:szCs w:val="20"/>
        </w:rPr>
        <w:t>and the reversal of prior year impairment previously recognised in the Comprehensive Income and Expenditure Account, is identified below:</w:t>
      </w:r>
    </w:p>
    <w:p w:rsidR="00FD6B93" w:rsidRDefault="00FD6B93">
      <w:pPr>
        <w:pStyle w:val="xl50"/>
        <w:tabs>
          <w:tab w:val="left" w:pos="567"/>
        </w:tabs>
        <w:spacing w:before="0" w:beforeAutospacing="0" w:after="0" w:afterAutospacing="0"/>
        <w:ind w:left="567" w:hanging="567"/>
        <w:rPr>
          <w:rFonts w:eastAsia="Times New Roman"/>
          <w:b w:val="0"/>
          <w:color w:val="auto"/>
          <w:sz w:val="22"/>
          <w:szCs w:val="20"/>
        </w:rPr>
      </w:pPr>
    </w:p>
    <w:p w:rsidR="001A6F7B" w:rsidRDefault="001A6F7B">
      <w:pPr>
        <w:pStyle w:val="xl50"/>
        <w:tabs>
          <w:tab w:val="left" w:pos="567"/>
        </w:tabs>
        <w:spacing w:before="0" w:beforeAutospacing="0" w:after="0" w:afterAutospacing="0"/>
        <w:ind w:left="567" w:hanging="567"/>
        <w:rPr>
          <w:rFonts w:eastAsia="Times New Roman"/>
          <w:b w:val="0"/>
          <w:color w:val="auto"/>
          <w:sz w:val="22"/>
          <w:szCs w:val="20"/>
        </w:rPr>
      </w:pPr>
    </w:p>
    <w:tbl>
      <w:tblPr>
        <w:tblW w:w="7380" w:type="dxa"/>
        <w:jc w:val="center"/>
        <w:tblInd w:w="93" w:type="dxa"/>
        <w:tblLook w:val="04A0" w:firstRow="1" w:lastRow="0" w:firstColumn="1" w:lastColumn="0" w:noHBand="0" w:noVBand="1"/>
      </w:tblPr>
      <w:tblGrid>
        <w:gridCol w:w="278"/>
        <w:gridCol w:w="278"/>
        <w:gridCol w:w="278"/>
        <w:gridCol w:w="3240"/>
        <w:gridCol w:w="400"/>
        <w:gridCol w:w="1464"/>
        <w:gridCol w:w="460"/>
        <w:gridCol w:w="1464"/>
        <w:gridCol w:w="278"/>
      </w:tblGrid>
      <w:tr w:rsidR="007E1AE9" w:rsidRPr="007E1AE9" w:rsidTr="007E1AE9">
        <w:trPr>
          <w:trHeight w:val="150"/>
          <w:jc w:val="center"/>
        </w:trPr>
        <w:tc>
          <w:tcPr>
            <w:tcW w:w="120" w:type="dxa"/>
            <w:tcBorders>
              <w:top w:val="single" w:sz="4" w:space="0" w:color="auto"/>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2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324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40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34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46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340" w:type="dxa"/>
            <w:tcBorders>
              <w:top w:val="single" w:sz="4" w:space="0" w:color="auto"/>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200" w:type="dxa"/>
            <w:tcBorders>
              <w:top w:val="single" w:sz="4" w:space="0" w:color="auto"/>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300"/>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b/>
                <w:bCs/>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center"/>
              <w:rPr>
                <w:rFonts w:ascii="Arial" w:hAnsi="Arial" w:cs="Arial"/>
                <w:b/>
                <w:bCs/>
                <w:color w:val="000000"/>
                <w:sz w:val="22"/>
                <w:szCs w:val="22"/>
                <w:lang w:eastAsia="en-GB"/>
              </w:rPr>
            </w:pPr>
            <w:r w:rsidRPr="007E1AE9">
              <w:rPr>
                <w:rFonts w:ascii="Arial" w:hAnsi="Arial" w:cs="Arial"/>
                <w:b/>
                <w:bCs/>
                <w:color w:val="000000"/>
                <w:sz w:val="22"/>
                <w:szCs w:val="22"/>
                <w:lang w:eastAsia="en-GB"/>
              </w:rPr>
              <w:t>2013-14</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center"/>
              <w:rPr>
                <w:rFonts w:ascii="Arial" w:hAnsi="Arial" w:cs="Arial"/>
                <w:b/>
                <w:bCs/>
                <w:color w:val="000000"/>
                <w:sz w:val="22"/>
                <w:szCs w:val="22"/>
                <w:lang w:eastAsia="en-GB"/>
              </w:rPr>
            </w:pPr>
            <w:r w:rsidRPr="007E1AE9">
              <w:rPr>
                <w:rFonts w:ascii="Arial" w:hAnsi="Arial" w:cs="Arial"/>
                <w:b/>
                <w:bCs/>
                <w:color w:val="000000"/>
                <w:sz w:val="22"/>
                <w:szCs w:val="22"/>
                <w:lang w:eastAsia="en-GB"/>
              </w:rPr>
              <w:t>2012-13</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300"/>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center"/>
              <w:rPr>
                <w:rFonts w:ascii="Arial" w:hAnsi="Arial" w:cs="Arial"/>
                <w:b/>
                <w:bCs/>
                <w:color w:val="000000"/>
                <w:sz w:val="22"/>
                <w:szCs w:val="22"/>
                <w:lang w:eastAsia="en-GB"/>
              </w:rPr>
            </w:pPr>
            <w:r w:rsidRPr="007E1AE9">
              <w:rPr>
                <w:rFonts w:ascii="Arial" w:hAnsi="Arial" w:cs="Arial"/>
                <w:b/>
                <w:bCs/>
                <w:color w:val="000000"/>
                <w:sz w:val="22"/>
                <w:szCs w:val="22"/>
                <w:lang w:eastAsia="en-GB"/>
              </w:rPr>
              <w:t>£</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center"/>
              <w:rPr>
                <w:rFonts w:ascii="Arial" w:hAnsi="Arial" w:cs="Arial"/>
                <w:b/>
                <w:bCs/>
                <w:color w:val="000000"/>
                <w:sz w:val="22"/>
                <w:szCs w:val="22"/>
                <w:lang w:eastAsia="en-GB"/>
              </w:rPr>
            </w:pPr>
            <w:r w:rsidRPr="007E1AE9">
              <w:rPr>
                <w:rFonts w:ascii="Arial" w:hAnsi="Arial" w:cs="Arial"/>
                <w:b/>
                <w:bCs/>
                <w:color w:val="000000"/>
                <w:sz w:val="22"/>
                <w:szCs w:val="22"/>
                <w:lang w:eastAsia="en-GB"/>
              </w:rPr>
              <w:t>£</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360" w:type="dxa"/>
            <w:gridSpan w:val="2"/>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xml:space="preserve">Council dwellings </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Impairment</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9,180,020</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382,977</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xml:space="preserve">Charge to Revaluation Reserve </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(6,958,297)</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(623,228)</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Reversal</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(10,276,148)</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(11,385,716)</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360" w:type="dxa"/>
            <w:gridSpan w:val="2"/>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Other Land and Buildings</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Impairment</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122,465</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141,959</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xml:space="preserve">Charge to Revaluation Reserve </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(46,330)</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(110,866)</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Reversal</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(562,315)</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(322,518)</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360" w:type="dxa"/>
            <w:gridSpan w:val="2"/>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Vehicles, Plant and Equipment</w:t>
            </w:r>
          </w:p>
        </w:tc>
        <w:tc>
          <w:tcPr>
            <w:tcW w:w="40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Impairment</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0</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7,344</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Reversal</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0</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360" w:type="dxa"/>
            <w:gridSpan w:val="2"/>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Infrastructure</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Impairment</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119,752</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108,889</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360" w:type="dxa"/>
            <w:gridSpan w:val="2"/>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Heritage Assets</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Impairment</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624,665</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xml:space="preserve">Charge to Revaluation Reserve </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(624,665)</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360" w:type="dxa"/>
            <w:gridSpan w:val="2"/>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Surplus assets not held for sale</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Impairment</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6,382</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10,575</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xml:space="preserve">Charge to Revaluation Reserve </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(5,870)</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center"/>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285"/>
          <w:jc w:val="center"/>
        </w:trPr>
        <w:tc>
          <w:tcPr>
            <w:tcW w:w="120" w:type="dxa"/>
            <w:tcBorders>
              <w:top w:val="nil"/>
              <w:left w:val="single" w:sz="4" w:space="0" w:color="auto"/>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2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3240" w:type="dxa"/>
            <w:tcBorders>
              <w:top w:val="nil"/>
              <w:left w:val="nil"/>
              <w:bottom w:val="nil"/>
              <w:right w:val="nil"/>
            </w:tcBorders>
            <w:shd w:val="clear" w:color="auto" w:fill="auto"/>
            <w:noWrap/>
            <w:vAlign w:val="center"/>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Reversal</w:t>
            </w:r>
          </w:p>
        </w:tc>
        <w:tc>
          <w:tcPr>
            <w:tcW w:w="40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(19,345)</w:t>
            </w:r>
          </w:p>
        </w:tc>
        <w:tc>
          <w:tcPr>
            <w:tcW w:w="460" w:type="dxa"/>
            <w:tcBorders>
              <w:top w:val="nil"/>
              <w:left w:val="nil"/>
              <w:bottom w:val="nil"/>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p>
        </w:tc>
        <w:tc>
          <w:tcPr>
            <w:tcW w:w="1340" w:type="dxa"/>
            <w:tcBorders>
              <w:top w:val="nil"/>
              <w:left w:val="nil"/>
              <w:bottom w:val="nil"/>
              <w:right w:val="nil"/>
            </w:tcBorders>
            <w:shd w:val="clear" w:color="auto" w:fill="auto"/>
            <w:noWrap/>
            <w:vAlign w:val="bottom"/>
            <w:hideMark/>
          </w:tcPr>
          <w:p w:rsidR="007E1AE9" w:rsidRPr="007E1AE9" w:rsidRDefault="007E1AE9" w:rsidP="007E1AE9">
            <w:pPr>
              <w:jc w:val="right"/>
              <w:rPr>
                <w:rFonts w:ascii="Arial" w:hAnsi="Arial" w:cs="Arial"/>
                <w:color w:val="000000"/>
                <w:sz w:val="22"/>
                <w:szCs w:val="22"/>
                <w:lang w:eastAsia="en-GB"/>
              </w:rPr>
            </w:pPr>
            <w:r w:rsidRPr="007E1AE9">
              <w:rPr>
                <w:rFonts w:ascii="Arial" w:hAnsi="Arial" w:cs="Arial"/>
                <w:color w:val="000000"/>
                <w:sz w:val="22"/>
                <w:szCs w:val="22"/>
                <w:lang w:eastAsia="en-GB"/>
              </w:rPr>
              <w:t>(672,653)</w:t>
            </w:r>
          </w:p>
        </w:tc>
        <w:tc>
          <w:tcPr>
            <w:tcW w:w="200" w:type="dxa"/>
            <w:tcBorders>
              <w:top w:val="nil"/>
              <w:left w:val="nil"/>
              <w:bottom w:val="nil"/>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r w:rsidR="007E1AE9" w:rsidRPr="007E1AE9" w:rsidTr="007E1AE9">
        <w:trPr>
          <w:trHeight w:val="180"/>
          <w:jc w:val="center"/>
        </w:trPr>
        <w:tc>
          <w:tcPr>
            <w:tcW w:w="120" w:type="dxa"/>
            <w:tcBorders>
              <w:top w:val="nil"/>
              <w:left w:val="single" w:sz="4" w:space="0" w:color="auto"/>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6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2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324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40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34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46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1340" w:type="dxa"/>
            <w:tcBorders>
              <w:top w:val="nil"/>
              <w:left w:val="nil"/>
              <w:bottom w:val="single" w:sz="4" w:space="0" w:color="auto"/>
              <w:right w:val="nil"/>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c>
          <w:tcPr>
            <w:tcW w:w="200" w:type="dxa"/>
            <w:tcBorders>
              <w:top w:val="nil"/>
              <w:left w:val="nil"/>
              <w:bottom w:val="single" w:sz="4" w:space="0" w:color="auto"/>
              <w:right w:val="single" w:sz="4" w:space="0" w:color="auto"/>
            </w:tcBorders>
            <w:shd w:val="clear" w:color="auto" w:fill="auto"/>
            <w:noWrap/>
            <w:vAlign w:val="bottom"/>
            <w:hideMark/>
          </w:tcPr>
          <w:p w:rsidR="007E1AE9" w:rsidRPr="007E1AE9" w:rsidRDefault="007E1AE9" w:rsidP="007E1AE9">
            <w:pPr>
              <w:rPr>
                <w:rFonts w:ascii="Arial" w:hAnsi="Arial" w:cs="Arial"/>
                <w:color w:val="000000"/>
                <w:sz w:val="22"/>
                <w:szCs w:val="22"/>
                <w:lang w:eastAsia="en-GB"/>
              </w:rPr>
            </w:pPr>
            <w:r w:rsidRPr="007E1AE9">
              <w:rPr>
                <w:rFonts w:ascii="Arial" w:hAnsi="Arial" w:cs="Arial"/>
                <w:color w:val="000000"/>
                <w:sz w:val="22"/>
                <w:szCs w:val="22"/>
                <w:lang w:eastAsia="en-GB"/>
              </w:rPr>
              <w:t> </w:t>
            </w:r>
          </w:p>
        </w:tc>
      </w:tr>
    </w:tbl>
    <w:p w:rsidR="003A71DC" w:rsidRDefault="003A71DC">
      <w:pPr>
        <w:pStyle w:val="xl50"/>
        <w:tabs>
          <w:tab w:val="left" w:pos="567"/>
        </w:tabs>
        <w:spacing w:before="0" w:beforeAutospacing="0" w:after="0" w:afterAutospacing="0"/>
        <w:rPr>
          <w:rFonts w:eastAsia="Times New Roman"/>
          <w:bCs w:val="0"/>
          <w:szCs w:val="20"/>
        </w:rPr>
      </w:pPr>
    </w:p>
    <w:p w:rsidR="001671C0" w:rsidRDefault="001671C0">
      <w:pPr>
        <w:pStyle w:val="xl50"/>
        <w:tabs>
          <w:tab w:val="left" w:pos="567"/>
        </w:tabs>
        <w:spacing w:before="0" w:beforeAutospacing="0" w:after="0" w:afterAutospacing="0"/>
        <w:rPr>
          <w:rFonts w:eastAsia="Times New Roman"/>
          <w:bCs w:val="0"/>
          <w:szCs w:val="20"/>
        </w:rPr>
      </w:pPr>
    </w:p>
    <w:p w:rsidR="001671C0" w:rsidRDefault="001671C0">
      <w:pPr>
        <w:pStyle w:val="xl50"/>
        <w:tabs>
          <w:tab w:val="left" w:pos="567"/>
        </w:tabs>
        <w:spacing w:before="0" w:beforeAutospacing="0" w:after="0" w:afterAutospacing="0"/>
        <w:rPr>
          <w:rFonts w:eastAsia="Times New Roman"/>
          <w:bCs w:val="0"/>
          <w:szCs w:val="20"/>
        </w:rPr>
      </w:pPr>
    </w:p>
    <w:p w:rsidR="00F23FFF" w:rsidRDefault="003552BC" w:rsidP="00925212">
      <w:pPr>
        <w:pStyle w:val="xl50"/>
        <w:tabs>
          <w:tab w:val="left" w:pos="567"/>
        </w:tabs>
        <w:spacing w:before="0" w:beforeAutospacing="0" w:after="0" w:afterAutospacing="0"/>
        <w:ind w:left="567" w:hanging="567"/>
        <w:rPr>
          <w:rFonts w:eastAsia="Times New Roman"/>
          <w:bCs w:val="0"/>
          <w:szCs w:val="20"/>
        </w:rPr>
      </w:pPr>
      <w:r>
        <w:rPr>
          <w:rFonts w:eastAsia="Times New Roman"/>
          <w:bCs w:val="0"/>
          <w:szCs w:val="20"/>
        </w:rPr>
        <w:t>2</w:t>
      </w:r>
      <w:r w:rsidR="00672827">
        <w:rPr>
          <w:rFonts w:eastAsia="Times New Roman"/>
          <w:bCs w:val="0"/>
          <w:szCs w:val="20"/>
        </w:rPr>
        <w:t>9</w:t>
      </w:r>
      <w:r>
        <w:rPr>
          <w:rFonts w:eastAsia="Times New Roman"/>
          <w:bCs w:val="0"/>
          <w:szCs w:val="20"/>
        </w:rPr>
        <w:t xml:space="preserve">    P</w:t>
      </w:r>
      <w:r w:rsidR="00925212">
        <w:rPr>
          <w:rFonts w:eastAsia="Times New Roman"/>
          <w:bCs w:val="0"/>
          <w:szCs w:val="20"/>
        </w:rPr>
        <w:t>roperty, Plant and Equipment,</w:t>
      </w:r>
      <w:r>
        <w:rPr>
          <w:rFonts w:eastAsia="Times New Roman"/>
          <w:bCs w:val="0"/>
          <w:szCs w:val="20"/>
        </w:rPr>
        <w:t xml:space="preserve"> Surplus assets held for sale</w:t>
      </w:r>
      <w:r w:rsidR="00925212">
        <w:rPr>
          <w:rFonts w:eastAsia="Times New Roman"/>
          <w:bCs w:val="0"/>
          <w:szCs w:val="20"/>
        </w:rPr>
        <w:t xml:space="preserve"> and Heritage Assets</w:t>
      </w:r>
    </w:p>
    <w:p w:rsidR="00F23FFF" w:rsidRDefault="00F23FFF">
      <w:pPr>
        <w:pStyle w:val="xl50"/>
        <w:tabs>
          <w:tab w:val="left" w:pos="567"/>
        </w:tabs>
        <w:spacing w:before="0" w:beforeAutospacing="0" w:after="0" w:afterAutospacing="0"/>
        <w:rPr>
          <w:rFonts w:eastAsia="Times New Roman"/>
          <w:bCs w:val="0"/>
          <w:szCs w:val="20"/>
        </w:rPr>
      </w:pPr>
    </w:p>
    <w:p w:rsidR="00F23FFF" w:rsidRDefault="003552BC">
      <w:pPr>
        <w:pStyle w:val="xl50"/>
        <w:tabs>
          <w:tab w:val="left" w:pos="567"/>
        </w:tabs>
        <w:spacing w:before="0" w:beforeAutospacing="0" w:after="0" w:afterAutospacing="0"/>
        <w:ind w:left="510"/>
        <w:rPr>
          <w:rFonts w:eastAsia="Times New Roman"/>
          <w:b w:val="0"/>
          <w:bCs w:val="0"/>
          <w:color w:val="auto"/>
          <w:sz w:val="22"/>
          <w:szCs w:val="22"/>
        </w:rPr>
      </w:pPr>
      <w:r>
        <w:rPr>
          <w:rFonts w:eastAsia="Times New Roman"/>
          <w:b w:val="0"/>
          <w:bCs w:val="0"/>
          <w:color w:val="auto"/>
          <w:sz w:val="22"/>
          <w:szCs w:val="22"/>
        </w:rPr>
        <w:t xml:space="preserve">Depreciation starting in the year after acquisition is provided for on non-current assets by writing down the cost (or re-valued amount) less estimated residual value, on a straight-line basis to the appropriate revenue account over the following periods: </w:t>
      </w:r>
    </w:p>
    <w:p w:rsidR="00F23FFF" w:rsidRDefault="003552BC">
      <w:pPr>
        <w:pStyle w:val="xl50"/>
        <w:tabs>
          <w:tab w:val="left" w:pos="567"/>
        </w:tabs>
        <w:spacing w:before="0" w:beforeAutospacing="0" w:after="0" w:afterAutospacing="0"/>
        <w:ind w:left="510"/>
        <w:rPr>
          <w:rFonts w:eastAsia="Times New Roman"/>
          <w:b w:val="0"/>
          <w:bCs w:val="0"/>
          <w:color w:val="auto"/>
          <w:sz w:val="22"/>
          <w:szCs w:val="22"/>
        </w:rPr>
      </w:pPr>
      <w:r>
        <w:rPr>
          <w:rFonts w:eastAsia="Times New Roman"/>
          <w:b w:val="0"/>
          <w:bCs w:val="0"/>
          <w:color w:val="auto"/>
          <w:sz w:val="22"/>
          <w:szCs w:val="22"/>
        </w:rPr>
        <w:t xml:space="preserve">Council dwellings – 16/45 years, </w:t>
      </w:r>
    </w:p>
    <w:p w:rsidR="00F23FFF" w:rsidRDefault="003552BC">
      <w:pPr>
        <w:pStyle w:val="xl50"/>
        <w:tabs>
          <w:tab w:val="left" w:pos="567"/>
        </w:tabs>
        <w:spacing w:before="0" w:beforeAutospacing="0" w:after="0" w:afterAutospacing="0"/>
        <w:ind w:left="510"/>
        <w:rPr>
          <w:rFonts w:eastAsia="Times New Roman"/>
          <w:b w:val="0"/>
          <w:bCs w:val="0"/>
          <w:color w:val="auto"/>
          <w:sz w:val="22"/>
          <w:szCs w:val="22"/>
        </w:rPr>
      </w:pPr>
      <w:r>
        <w:rPr>
          <w:rFonts w:eastAsia="Times New Roman"/>
          <w:b w:val="0"/>
          <w:bCs w:val="0"/>
          <w:color w:val="auto"/>
          <w:sz w:val="22"/>
          <w:szCs w:val="22"/>
        </w:rPr>
        <w:t xml:space="preserve">Buildings other than dwellings – 10/51 years, </w:t>
      </w:r>
    </w:p>
    <w:p w:rsidR="00F23FFF" w:rsidRDefault="003552BC">
      <w:pPr>
        <w:pStyle w:val="xl50"/>
        <w:tabs>
          <w:tab w:val="left" w:pos="567"/>
        </w:tabs>
        <w:spacing w:before="0" w:beforeAutospacing="0" w:after="0" w:afterAutospacing="0"/>
        <w:ind w:left="510"/>
        <w:rPr>
          <w:rFonts w:eastAsia="Times New Roman"/>
          <w:b w:val="0"/>
          <w:bCs w:val="0"/>
          <w:color w:val="auto"/>
          <w:sz w:val="22"/>
          <w:szCs w:val="22"/>
        </w:rPr>
      </w:pPr>
      <w:proofErr w:type="gramStart"/>
      <w:r>
        <w:rPr>
          <w:rFonts w:eastAsia="Times New Roman"/>
          <w:b w:val="0"/>
          <w:bCs w:val="0"/>
          <w:color w:val="auto"/>
          <w:sz w:val="22"/>
          <w:szCs w:val="22"/>
        </w:rPr>
        <w:t>Vehicles, plant and equipment – 7/10 years.</w:t>
      </w:r>
      <w:proofErr w:type="gramEnd"/>
      <w:r>
        <w:rPr>
          <w:rFonts w:eastAsia="Times New Roman"/>
          <w:b w:val="0"/>
          <w:bCs w:val="0"/>
          <w:color w:val="auto"/>
          <w:sz w:val="22"/>
          <w:szCs w:val="22"/>
        </w:rPr>
        <w:t xml:space="preserve"> </w:t>
      </w:r>
    </w:p>
    <w:p w:rsidR="00F23FFF" w:rsidRDefault="003552BC">
      <w:pPr>
        <w:pStyle w:val="xl50"/>
        <w:tabs>
          <w:tab w:val="left" w:pos="567"/>
        </w:tabs>
        <w:spacing w:before="0" w:beforeAutospacing="0" w:after="0" w:afterAutospacing="0"/>
        <w:ind w:left="510"/>
        <w:rPr>
          <w:rFonts w:eastAsia="Times New Roman"/>
          <w:b w:val="0"/>
          <w:bCs w:val="0"/>
          <w:color w:val="auto"/>
          <w:sz w:val="22"/>
          <w:szCs w:val="22"/>
        </w:rPr>
        <w:sectPr w:rsidR="00F23FFF" w:rsidSect="00762BB3">
          <w:pgSz w:w="11907" w:h="16840" w:code="9"/>
          <w:pgMar w:top="1440" w:right="1531" w:bottom="1440" w:left="1276" w:header="720" w:footer="720" w:gutter="0"/>
          <w:cols w:space="720"/>
        </w:sectPr>
      </w:pPr>
      <w:r>
        <w:rPr>
          <w:rFonts w:eastAsia="Times New Roman"/>
          <w:b w:val="0"/>
          <w:bCs w:val="0"/>
          <w:color w:val="auto"/>
          <w:sz w:val="22"/>
          <w:szCs w:val="22"/>
        </w:rPr>
        <w:t xml:space="preserve">No depreciation is charged on </w:t>
      </w:r>
      <w:r w:rsidR="002427E3">
        <w:rPr>
          <w:rFonts w:eastAsia="Times New Roman"/>
          <w:b w:val="0"/>
          <w:bCs w:val="0"/>
          <w:color w:val="auto"/>
          <w:sz w:val="22"/>
          <w:szCs w:val="22"/>
        </w:rPr>
        <w:t>Heritage assets</w:t>
      </w:r>
      <w:r w:rsidR="00E852BD">
        <w:rPr>
          <w:rFonts w:eastAsia="Times New Roman"/>
          <w:b w:val="0"/>
          <w:bCs w:val="0"/>
          <w:color w:val="auto"/>
          <w:sz w:val="22"/>
          <w:szCs w:val="22"/>
        </w:rPr>
        <w:t>, surplus assets held for sale</w:t>
      </w:r>
      <w:r w:rsidR="002427E3">
        <w:rPr>
          <w:rFonts w:eastAsia="Times New Roman"/>
          <w:b w:val="0"/>
          <w:bCs w:val="0"/>
          <w:color w:val="auto"/>
          <w:sz w:val="22"/>
          <w:szCs w:val="22"/>
        </w:rPr>
        <w:t xml:space="preserve"> or </w:t>
      </w:r>
      <w:r>
        <w:rPr>
          <w:rFonts w:eastAsia="Times New Roman"/>
          <w:b w:val="0"/>
          <w:bCs w:val="0"/>
          <w:color w:val="auto"/>
          <w:sz w:val="22"/>
          <w:szCs w:val="22"/>
        </w:rPr>
        <w:t>freehold land in accordance with standard accounting policies. The depreciation charged on dwelling stock is reversed out at 31 March each year when the housing stock is re-valued so this charge has no impact on the fair value of the housing stock as recorded in the Balance Sheet.</w:t>
      </w:r>
    </w:p>
    <w:p w:rsidR="00F23FFF" w:rsidRDefault="003552BC">
      <w:pPr>
        <w:pStyle w:val="xl50"/>
        <w:tabs>
          <w:tab w:val="left" w:pos="567"/>
        </w:tabs>
        <w:spacing w:before="0" w:beforeAutospacing="0" w:after="0" w:afterAutospacing="0"/>
        <w:rPr>
          <w:rFonts w:eastAsia="Times New Roman"/>
          <w:b w:val="0"/>
          <w:sz w:val="22"/>
          <w:szCs w:val="20"/>
        </w:rPr>
      </w:pPr>
      <w:r>
        <w:rPr>
          <w:rFonts w:eastAsia="Times New Roman"/>
          <w:bCs w:val="0"/>
          <w:szCs w:val="20"/>
        </w:rPr>
        <w:lastRenderedPageBreak/>
        <w:t xml:space="preserve">Property, Plant and Equipment </w:t>
      </w:r>
      <w:r>
        <w:rPr>
          <w:rFonts w:eastAsia="Times New Roman"/>
          <w:b w:val="0"/>
          <w:szCs w:val="20"/>
        </w:rPr>
        <w:t>for the</w:t>
      </w:r>
      <w:r>
        <w:rPr>
          <w:rFonts w:eastAsia="Times New Roman"/>
          <w:bCs w:val="0"/>
          <w:szCs w:val="20"/>
        </w:rPr>
        <w:t xml:space="preserve"> </w:t>
      </w:r>
      <w:r w:rsidR="00EC07A8">
        <w:rPr>
          <w:rFonts w:eastAsia="Times New Roman"/>
          <w:b w:val="0"/>
          <w:sz w:val="22"/>
          <w:szCs w:val="20"/>
        </w:rPr>
        <w:t>financial year 2013-14</w:t>
      </w:r>
    </w:p>
    <w:p w:rsidR="008B0F8C" w:rsidRDefault="008B0F8C">
      <w:pPr>
        <w:pStyle w:val="xl50"/>
        <w:tabs>
          <w:tab w:val="left" w:pos="567"/>
        </w:tabs>
        <w:spacing w:before="0" w:beforeAutospacing="0" w:after="0" w:afterAutospacing="0"/>
        <w:rPr>
          <w:rFonts w:eastAsia="Times New Roman"/>
          <w:b w:val="0"/>
          <w:sz w:val="22"/>
          <w:szCs w:val="20"/>
        </w:rPr>
      </w:pPr>
    </w:p>
    <w:p w:rsidR="008B0F8C" w:rsidRDefault="008B0F8C">
      <w:pPr>
        <w:pStyle w:val="xl50"/>
        <w:tabs>
          <w:tab w:val="left" w:pos="567"/>
        </w:tabs>
        <w:spacing w:before="0" w:beforeAutospacing="0" w:after="0" w:afterAutospacing="0"/>
        <w:rPr>
          <w:rFonts w:eastAsia="Times New Roman"/>
          <w:b w:val="0"/>
          <w:sz w:val="22"/>
          <w:szCs w:val="20"/>
        </w:rPr>
      </w:pPr>
    </w:p>
    <w:p w:rsidR="00294BF0" w:rsidRDefault="008B0F8C" w:rsidP="008B0F8C">
      <w:pPr>
        <w:pStyle w:val="xl50"/>
        <w:tabs>
          <w:tab w:val="left" w:pos="567"/>
        </w:tabs>
        <w:spacing w:before="0" w:beforeAutospacing="0" w:after="0" w:afterAutospacing="0"/>
        <w:jc w:val="center"/>
        <w:rPr>
          <w:rFonts w:eastAsia="Times New Roman"/>
          <w:b w:val="0"/>
          <w:sz w:val="22"/>
          <w:szCs w:val="20"/>
        </w:rPr>
      </w:pPr>
      <w:r w:rsidRPr="008B0F8C">
        <w:rPr>
          <w:noProof/>
          <w:lang w:eastAsia="en-GB"/>
        </w:rPr>
        <w:drawing>
          <wp:inline distT="0" distB="0" distL="0" distR="0" wp14:anchorId="5C9F086A" wp14:editId="5C12BFC5">
            <wp:extent cx="6681543" cy="721042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1256" cy="7220906"/>
                    </a:xfrm>
                    <a:prstGeom prst="rect">
                      <a:avLst/>
                    </a:prstGeom>
                    <a:noFill/>
                    <a:ln>
                      <a:noFill/>
                    </a:ln>
                  </pic:spPr>
                </pic:pic>
              </a:graphicData>
            </a:graphic>
          </wp:inline>
        </w:drawing>
      </w:r>
    </w:p>
    <w:p w:rsidR="007C49A2" w:rsidRDefault="007C49A2">
      <w:pPr>
        <w:pStyle w:val="xl50"/>
        <w:tabs>
          <w:tab w:val="left" w:pos="567"/>
        </w:tabs>
        <w:spacing w:before="0" w:beforeAutospacing="0" w:after="0" w:afterAutospacing="0"/>
        <w:rPr>
          <w:rFonts w:eastAsia="Times New Roman"/>
          <w:b w:val="0"/>
          <w:sz w:val="22"/>
          <w:szCs w:val="20"/>
        </w:rPr>
      </w:pPr>
    </w:p>
    <w:p w:rsidR="00294BF0" w:rsidRDefault="00294BF0">
      <w:pPr>
        <w:pStyle w:val="xl50"/>
        <w:tabs>
          <w:tab w:val="left" w:pos="567"/>
        </w:tabs>
        <w:spacing w:before="0" w:beforeAutospacing="0" w:after="0" w:afterAutospacing="0"/>
        <w:rPr>
          <w:rFonts w:eastAsia="Times New Roman"/>
          <w:b w:val="0"/>
          <w:sz w:val="22"/>
          <w:szCs w:val="20"/>
        </w:rPr>
      </w:pPr>
    </w:p>
    <w:p w:rsidR="000506E0" w:rsidRDefault="000506E0">
      <w:pPr>
        <w:pStyle w:val="xl50"/>
        <w:tabs>
          <w:tab w:val="left" w:pos="567"/>
        </w:tabs>
        <w:spacing w:before="0" w:beforeAutospacing="0" w:after="0" w:afterAutospacing="0"/>
        <w:rPr>
          <w:rFonts w:eastAsia="Times New Roman"/>
          <w:b w:val="0"/>
          <w:sz w:val="22"/>
          <w:szCs w:val="20"/>
        </w:rPr>
      </w:pPr>
    </w:p>
    <w:p w:rsidR="00294BF0" w:rsidRDefault="00294BF0" w:rsidP="00294BF0">
      <w:pPr>
        <w:pStyle w:val="xl50"/>
        <w:tabs>
          <w:tab w:val="left" w:pos="567"/>
        </w:tabs>
        <w:spacing w:before="0" w:beforeAutospacing="0" w:after="0" w:afterAutospacing="0"/>
        <w:jc w:val="center"/>
        <w:rPr>
          <w:rFonts w:eastAsia="Times New Roman"/>
          <w:b w:val="0"/>
          <w:sz w:val="22"/>
          <w:szCs w:val="20"/>
        </w:rPr>
      </w:pPr>
    </w:p>
    <w:p w:rsidR="00294BF0" w:rsidRDefault="00294BF0">
      <w:pPr>
        <w:pStyle w:val="xl50"/>
        <w:tabs>
          <w:tab w:val="left" w:pos="567"/>
        </w:tabs>
        <w:spacing w:before="0" w:beforeAutospacing="0" w:after="0" w:afterAutospacing="0"/>
        <w:rPr>
          <w:rFonts w:eastAsia="Times New Roman"/>
          <w:b w:val="0"/>
          <w:sz w:val="22"/>
          <w:szCs w:val="20"/>
        </w:rPr>
        <w:sectPr w:rsidR="00294BF0">
          <w:type w:val="nextColumn"/>
          <w:pgSz w:w="11907" w:h="16840" w:code="9"/>
          <w:pgMar w:top="1440" w:right="1531" w:bottom="1440" w:left="709" w:header="720" w:footer="720" w:gutter="0"/>
          <w:cols w:space="720"/>
        </w:sectPr>
      </w:pPr>
    </w:p>
    <w:p w:rsidR="00F23FFF" w:rsidRDefault="003552BC">
      <w:pPr>
        <w:pStyle w:val="xl50"/>
        <w:tabs>
          <w:tab w:val="left" w:pos="567"/>
        </w:tabs>
        <w:spacing w:before="0" w:beforeAutospacing="0" w:after="0" w:afterAutospacing="0"/>
        <w:rPr>
          <w:rFonts w:eastAsia="Times New Roman"/>
          <w:b w:val="0"/>
          <w:sz w:val="22"/>
          <w:szCs w:val="20"/>
        </w:rPr>
      </w:pPr>
      <w:r>
        <w:rPr>
          <w:rFonts w:eastAsia="Times New Roman"/>
          <w:bCs w:val="0"/>
          <w:sz w:val="22"/>
          <w:szCs w:val="20"/>
        </w:rPr>
        <w:lastRenderedPageBreak/>
        <w:t>Property, Plant and Equipment</w:t>
      </w:r>
      <w:r>
        <w:rPr>
          <w:rFonts w:eastAsia="Times New Roman"/>
          <w:b w:val="0"/>
          <w:sz w:val="22"/>
          <w:szCs w:val="20"/>
        </w:rPr>
        <w:t xml:space="preserve"> for the fina</w:t>
      </w:r>
      <w:r w:rsidR="00EC07A8">
        <w:rPr>
          <w:rFonts w:eastAsia="Times New Roman"/>
          <w:b w:val="0"/>
          <w:sz w:val="22"/>
          <w:szCs w:val="20"/>
        </w:rPr>
        <w:t>ncial year 2012-13</w:t>
      </w:r>
    </w:p>
    <w:p w:rsidR="00D822E9" w:rsidRDefault="00D822E9">
      <w:pPr>
        <w:pStyle w:val="xl50"/>
        <w:tabs>
          <w:tab w:val="left" w:pos="567"/>
        </w:tabs>
        <w:spacing w:before="0" w:beforeAutospacing="0" w:after="0" w:afterAutospacing="0"/>
        <w:rPr>
          <w:rFonts w:eastAsia="Times New Roman"/>
          <w:b w:val="0"/>
          <w:sz w:val="22"/>
          <w:szCs w:val="20"/>
        </w:rPr>
      </w:pPr>
    </w:p>
    <w:p w:rsidR="00AE4B76" w:rsidRDefault="00EC07A8">
      <w:pPr>
        <w:pStyle w:val="xl50"/>
        <w:tabs>
          <w:tab w:val="left" w:pos="567"/>
        </w:tabs>
        <w:spacing w:before="0" w:beforeAutospacing="0" w:after="0" w:afterAutospacing="0"/>
        <w:rPr>
          <w:rFonts w:eastAsia="Times New Roman"/>
          <w:b w:val="0"/>
          <w:sz w:val="22"/>
          <w:szCs w:val="20"/>
        </w:rPr>
      </w:pPr>
      <w:r w:rsidRPr="000511B6">
        <w:rPr>
          <w:noProof/>
          <w:lang w:eastAsia="en-GB"/>
        </w:rPr>
        <w:drawing>
          <wp:inline distT="0" distB="0" distL="0" distR="0" wp14:anchorId="69BF23C1" wp14:editId="64CB9F91">
            <wp:extent cx="6657975" cy="75314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9388" cy="7544404"/>
                    </a:xfrm>
                    <a:prstGeom prst="rect">
                      <a:avLst/>
                    </a:prstGeom>
                    <a:noFill/>
                    <a:ln>
                      <a:noFill/>
                    </a:ln>
                  </pic:spPr>
                </pic:pic>
              </a:graphicData>
            </a:graphic>
          </wp:inline>
        </w:drawing>
      </w:r>
    </w:p>
    <w:p w:rsidR="00AE4B76" w:rsidRDefault="00AE4B76">
      <w:pPr>
        <w:pStyle w:val="xl50"/>
        <w:tabs>
          <w:tab w:val="left" w:pos="567"/>
        </w:tabs>
        <w:spacing w:before="0" w:beforeAutospacing="0" w:after="0" w:afterAutospacing="0"/>
        <w:rPr>
          <w:rFonts w:eastAsia="Times New Roman"/>
          <w:b w:val="0"/>
          <w:sz w:val="22"/>
          <w:szCs w:val="20"/>
        </w:rPr>
      </w:pPr>
    </w:p>
    <w:p w:rsidR="00AE4B76" w:rsidRDefault="00AE4B76">
      <w:pPr>
        <w:pStyle w:val="xl50"/>
        <w:tabs>
          <w:tab w:val="left" w:pos="567"/>
        </w:tabs>
        <w:spacing w:before="0" w:beforeAutospacing="0" w:after="0" w:afterAutospacing="0"/>
        <w:rPr>
          <w:rFonts w:eastAsia="Times New Roman"/>
          <w:b w:val="0"/>
          <w:sz w:val="22"/>
          <w:szCs w:val="20"/>
        </w:rPr>
      </w:pPr>
    </w:p>
    <w:p w:rsidR="00AE4B76" w:rsidRDefault="00AE4B76">
      <w:pPr>
        <w:pStyle w:val="xl50"/>
        <w:tabs>
          <w:tab w:val="left" w:pos="567"/>
        </w:tabs>
        <w:spacing w:before="0" w:beforeAutospacing="0" w:after="0" w:afterAutospacing="0"/>
        <w:rPr>
          <w:rFonts w:eastAsia="Times New Roman"/>
          <w:b w:val="0"/>
          <w:sz w:val="22"/>
          <w:szCs w:val="20"/>
        </w:rPr>
      </w:pPr>
    </w:p>
    <w:p w:rsidR="000506E0" w:rsidRDefault="000506E0">
      <w:pPr>
        <w:pStyle w:val="xl50"/>
        <w:tabs>
          <w:tab w:val="left" w:pos="567"/>
        </w:tabs>
        <w:spacing w:before="0" w:beforeAutospacing="0" w:after="0" w:afterAutospacing="0"/>
        <w:rPr>
          <w:rFonts w:eastAsia="Times New Roman"/>
          <w:b w:val="0"/>
          <w:sz w:val="22"/>
          <w:szCs w:val="20"/>
        </w:rPr>
      </w:pPr>
    </w:p>
    <w:p w:rsidR="00F23FFF" w:rsidRDefault="00F23FFF">
      <w:pPr>
        <w:pStyle w:val="xl50"/>
        <w:tabs>
          <w:tab w:val="left" w:pos="567"/>
        </w:tabs>
        <w:spacing w:before="0" w:beforeAutospacing="0" w:after="0" w:afterAutospacing="0"/>
        <w:rPr>
          <w:rFonts w:eastAsia="Times New Roman"/>
          <w:b w:val="0"/>
          <w:sz w:val="22"/>
          <w:szCs w:val="20"/>
        </w:rPr>
      </w:pPr>
    </w:p>
    <w:p w:rsidR="000506E0" w:rsidRDefault="000506E0" w:rsidP="00653E4B">
      <w:pPr>
        <w:pStyle w:val="xl50"/>
        <w:tabs>
          <w:tab w:val="left" w:pos="567"/>
        </w:tabs>
        <w:spacing w:before="0" w:beforeAutospacing="0" w:after="0" w:afterAutospacing="0"/>
        <w:jc w:val="center"/>
        <w:rPr>
          <w:rFonts w:eastAsia="Times New Roman"/>
          <w:bCs w:val="0"/>
          <w:noProof/>
          <w:szCs w:val="20"/>
          <w:lang w:eastAsia="en-GB"/>
        </w:rPr>
      </w:pPr>
    </w:p>
    <w:p w:rsidR="00AE4B76" w:rsidRDefault="00AE4B76" w:rsidP="00653E4B">
      <w:pPr>
        <w:pStyle w:val="xl50"/>
        <w:tabs>
          <w:tab w:val="left" w:pos="567"/>
        </w:tabs>
        <w:spacing w:before="0" w:beforeAutospacing="0" w:after="0" w:afterAutospacing="0"/>
        <w:jc w:val="center"/>
        <w:rPr>
          <w:rFonts w:eastAsia="Times New Roman"/>
          <w:bCs w:val="0"/>
          <w:noProof/>
          <w:szCs w:val="20"/>
          <w:lang w:eastAsia="en-GB"/>
        </w:rPr>
      </w:pPr>
    </w:p>
    <w:p w:rsidR="000506E0" w:rsidRDefault="000506E0">
      <w:pPr>
        <w:pStyle w:val="xl50"/>
        <w:tabs>
          <w:tab w:val="left" w:pos="567"/>
        </w:tabs>
        <w:spacing w:before="0" w:beforeAutospacing="0" w:after="0" w:afterAutospacing="0"/>
        <w:rPr>
          <w:rFonts w:eastAsia="Times New Roman"/>
          <w:bCs w:val="0"/>
          <w:noProof/>
          <w:szCs w:val="20"/>
          <w:lang w:eastAsia="en-GB"/>
        </w:rPr>
      </w:pPr>
    </w:p>
    <w:p w:rsidR="000506E0" w:rsidRDefault="000506E0">
      <w:pPr>
        <w:pStyle w:val="xl50"/>
        <w:tabs>
          <w:tab w:val="left" w:pos="567"/>
        </w:tabs>
        <w:spacing w:before="0" w:beforeAutospacing="0" w:after="0" w:afterAutospacing="0"/>
        <w:rPr>
          <w:rFonts w:eastAsia="Times New Roman"/>
          <w:bCs w:val="0"/>
          <w:szCs w:val="20"/>
        </w:rPr>
        <w:sectPr w:rsidR="000506E0">
          <w:pgSz w:w="11907" w:h="16840" w:code="9"/>
          <w:pgMar w:top="1440" w:right="1531" w:bottom="1440" w:left="709" w:header="720" w:footer="720" w:gutter="0"/>
          <w:cols w:space="720"/>
        </w:sectPr>
      </w:pPr>
    </w:p>
    <w:p w:rsidR="00F23FFF" w:rsidRDefault="003552BC">
      <w:pPr>
        <w:pStyle w:val="xl50"/>
        <w:spacing w:before="0" w:beforeAutospacing="0" w:after="0" w:afterAutospacing="0"/>
        <w:rPr>
          <w:rFonts w:eastAsia="Times New Roman"/>
          <w:bCs w:val="0"/>
          <w:szCs w:val="20"/>
        </w:rPr>
      </w:pPr>
      <w:r>
        <w:rPr>
          <w:rFonts w:eastAsia="Times New Roman"/>
          <w:bCs w:val="0"/>
          <w:szCs w:val="20"/>
        </w:rPr>
        <w:lastRenderedPageBreak/>
        <w:t>Surplus assets held for sale</w:t>
      </w:r>
    </w:p>
    <w:p w:rsidR="00A946C5" w:rsidRDefault="00A946C5">
      <w:pPr>
        <w:pStyle w:val="xl50"/>
        <w:spacing w:before="0" w:beforeAutospacing="0" w:after="0" w:afterAutospacing="0"/>
        <w:rPr>
          <w:rFonts w:eastAsia="Times New Roman"/>
          <w:bCs w:val="0"/>
          <w:szCs w:val="20"/>
        </w:rPr>
      </w:pPr>
    </w:p>
    <w:p w:rsidR="00A946C5" w:rsidRDefault="00A946C5" w:rsidP="00F65735">
      <w:pPr>
        <w:pStyle w:val="xl50"/>
        <w:spacing w:before="0" w:beforeAutospacing="0" w:after="0" w:afterAutospacing="0"/>
        <w:jc w:val="center"/>
        <w:rPr>
          <w:rFonts w:eastAsia="Times New Roman"/>
          <w:bCs w:val="0"/>
          <w:szCs w:val="20"/>
        </w:rPr>
      </w:pPr>
    </w:p>
    <w:p w:rsidR="00AE4B76" w:rsidRDefault="00AE4B76" w:rsidP="00F65735">
      <w:pPr>
        <w:pStyle w:val="xl50"/>
        <w:spacing w:before="0" w:beforeAutospacing="0" w:after="0" w:afterAutospacing="0"/>
        <w:jc w:val="center"/>
        <w:rPr>
          <w:rFonts w:eastAsia="Times New Roman"/>
          <w:bCs w:val="0"/>
          <w:szCs w:val="20"/>
        </w:rPr>
      </w:pPr>
    </w:p>
    <w:tbl>
      <w:tblPr>
        <w:tblW w:w="6580" w:type="dxa"/>
        <w:jc w:val="center"/>
        <w:tblInd w:w="93" w:type="dxa"/>
        <w:tblLook w:val="04A0" w:firstRow="1" w:lastRow="0" w:firstColumn="1" w:lastColumn="0" w:noHBand="0" w:noVBand="1"/>
      </w:tblPr>
      <w:tblGrid>
        <w:gridCol w:w="272"/>
        <w:gridCol w:w="3740"/>
        <w:gridCol w:w="1239"/>
        <w:gridCol w:w="1280"/>
        <w:gridCol w:w="272"/>
      </w:tblGrid>
      <w:tr w:rsidR="008B0F8C" w:rsidRPr="008B0F8C" w:rsidTr="005E331A">
        <w:trPr>
          <w:trHeight w:val="255"/>
          <w:jc w:val="center"/>
        </w:trPr>
        <w:tc>
          <w:tcPr>
            <w:tcW w:w="200" w:type="dxa"/>
            <w:tcBorders>
              <w:top w:val="single" w:sz="4" w:space="0" w:color="auto"/>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single" w:sz="4" w:space="0" w:color="auto"/>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1180" w:type="dxa"/>
            <w:tcBorders>
              <w:top w:val="single" w:sz="4" w:space="0" w:color="auto"/>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1280" w:type="dxa"/>
            <w:tcBorders>
              <w:top w:val="single" w:sz="4" w:space="0" w:color="auto"/>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180" w:type="dxa"/>
            <w:tcBorders>
              <w:top w:val="single" w:sz="4" w:space="0" w:color="auto"/>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76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vAlign w:val="bottom"/>
            <w:hideMark/>
          </w:tcPr>
          <w:p w:rsidR="008B0F8C" w:rsidRPr="008B0F8C" w:rsidRDefault="008B0F8C" w:rsidP="008B0F8C">
            <w:pPr>
              <w:rPr>
                <w:rFonts w:ascii="Arial" w:hAnsi="Arial" w:cs="Arial"/>
                <w:b/>
                <w:bCs/>
                <w:lang w:eastAsia="en-GB"/>
              </w:rPr>
            </w:pPr>
          </w:p>
        </w:tc>
        <w:tc>
          <w:tcPr>
            <w:tcW w:w="1180" w:type="dxa"/>
            <w:tcBorders>
              <w:top w:val="nil"/>
              <w:left w:val="nil"/>
              <w:bottom w:val="nil"/>
              <w:right w:val="nil"/>
            </w:tcBorders>
            <w:shd w:val="clear" w:color="auto" w:fill="auto"/>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Assets held for sale             2013-14</w:t>
            </w:r>
          </w:p>
        </w:tc>
        <w:tc>
          <w:tcPr>
            <w:tcW w:w="1280" w:type="dxa"/>
            <w:tcBorders>
              <w:top w:val="nil"/>
              <w:left w:val="nil"/>
              <w:bottom w:val="nil"/>
              <w:right w:val="nil"/>
            </w:tcBorders>
            <w:shd w:val="clear" w:color="auto" w:fill="auto"/>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Assets held for sale             2012-13</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70"/>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single" w:sz="8" w:space="0" w:color="auto"/>
              <w:right w:val="nil"/>
            </w:tcBorders>
            <w:shd w:val="clear" w:color="auto" w:fill="auto"/>
            <w:noWrap/>
            <w:vAlign w:val="bottom"/>
            <w:hideMark/>
          </w:tcPr>
          <w:p w:rsidR="008B0F8C" w:rsidRPr="008B0F8C" w:rsidRDefault="008B0F8C" w:rsidP="008B0F8C">
            <w:pPr>
              <w:jc w:val="center"/>
              <w:rPr>
                <w:rFonts w:ascii="Arial" w:hAnsi="Arial" w:cs="Arial"/>
                <w:b/>
                <w:bCs/>
                <w:lang w:eastAsia="en-GB"/>
              </w:rPr>
            </w:pPr>
            <w:r w:rsidRPr="008B0F8C">
              <w:rPr>
                <w:rFonts w:ascii="Arial" w:hAnsi="Arial" w:cs="Arial"/>
                <w:b/>
                <w:bCs/>
                <w:lang w:eastAsia="en-GB"/>
              </w:rPr>
              <w:t> </w:t>
            </w:r>
          </w:p>
        </w:tc>
        <w:tc>
          <w:tcPr>
            <w:tcW w:w="1180" w:type="dxa"/>
            <w:tcBorders>
              <w:top w:val="nil"/>
              <w:left w:val="nil"/>
              <w:bottom w:val="single" w:sz="8" w:space="0" w:color="auto"/>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w:t>
            </w:r>
          </w:p>
        </w:tc>
        <w:tc>
          <w:tcPr>
            <w:tcW w:w="1280" w:type="dxa"/>
            <w:tcBorders>
              <w:top w:val="nil"/>
              <w:left w:val="nil"/>
              <w:bottom w:val="single" w:sz="8" w:space="0" w:color="auto"/>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Cost or valuation</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 xml:space="preserve">At 1 April </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1,255,934</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Inter-asset transfer</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624,665</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471,939</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Additions</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1,144,878</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1,571,427</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510"/>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Revaluation increases / (decreases) recognised in the Revaluation Reserve</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(628,126)</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5,870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76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Revaluation increases / (decreases) recognised in the Surplus/Deficit on the Provision of Services</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662,078</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Derecognition-disposals</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(1,590,280)</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(1,455,380)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single" w:sz="4" w:space="0" w:color="auto"/>
              <w:left w:val="nil"/>
              <w:bottom w:val="single" w:sz="4" w:space="0" w:color="auto"/>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 xml:space="preserve">At March </w:t>
            </w:r>
          </w:p>
        </w:tc>
        <w:tc>
          <w:tcPr>
            <w:tcW w:w="1180" w:type="dxa"/>
            <w:tcBorders>
              <w:top w:val="single" w:sz="4" w:space="0" w:color="auto"/>
              <w:left w:val="nil"/>
              <w:bottom w:val="single" w:sz="4" w:space="0" w:color="auto"/>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807,071</w:t>
            </w:r>
          </w:p>
        </w:tc>
        <w:tc>
          <w:tcPr>
            <w:tcW w:w="1280" w:type="dxa"/>
            <w:tcBorders>
              <w:top w:val="single" w:sz="4" w:space="0" w:color="auto"/>
              <w:left w:val="nil"/>
              <w:bottom w:val="single" w:sz="4" w:space="0" w:color="auto"/>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1,255,934</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Accumulated  impairment</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 xml:space="preserve">At 1 April </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0</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510"/>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Impairment losses/ (reversals) recognised in the Revaluation Reserve</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76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Impairment losses/ (reversals) recognised in the Surplus/Deficit on the Provision of Services</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0</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lang w:eastAsia="en-GB"/>
              </w:rPr>
            </w:pPr>
            <w:r w:rsidRPr="008B0F8C">
              <w:rPr>
                <w:rFonts w:ascii="Arial" w:hAnsi="Arial" w:cs="Arial"/>
                <w:lang w:eastAsia="en-GB"/>
              </w:rPr>
              <w:t>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single" w:sz="4" w:space="0" w:color="auto"/>
              <w:left w:val="nil"/>
              <w:bottom w:val="single" w:sz="4" w:space="0" w:color="auto"/>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 xml:space="preserve">At March </w:t>
            </w:r>
          </w:p>
        </w:tc>
        <w:tc>
          <w:tcPr>
            <w:tcW w:w="1180" w:type="dxa"/>
            <w:tcBorders>
              <w:top w:val="single" w:sz="4" w:space="0" w:color="auto"/>
              <w:left w:val="nil"/>
              <w:bottom w:val="single" w:sz="4" w:space="0" w:color="auto"/>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0</w:t>
            </w:r>
          </w:p>
        </w:tc>
        <w:tc>
          <w:tcPr>
            <w:tcW w:w="1280" w:type="dxa"/>
            <w:tcBorders>
              <w:top w:val="single" w:sz="4" w:space="0" w:color="auto"/>
              <w:left w:val="nil"/>
              <w:bottom w:val="single" w:sz="4" w:space="0" w:color="auto"/>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Net Book Value</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28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lang w:eastAsia="en-GB"/>
              </w:rPr>
            </w:pP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Opening balance</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1,255,934</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0</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nil"/>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nil"/>
              <w:right w:val="nil"/>
            </w:tcBorders>
            <w:shd w:val="clear" w:color="auto" w:fill="auto"/>
            <w:noWrap/>
            <w:vAlign w:val="bottom"/>
            <w:hideMark/>
          </w:tcPr>
          <w:p w:rsidR="008B0F8C" w:rsidRPr="008B0F8C" w:rsidRDefault="008B0F8C" w:rsidP="008B0F8C">
            <w:pPr>
              <w:rPr>
                <w:rFonts w:ascii="Arial" w:hAnsi="Arial" w:cs="Arial"/>
                <w:b/>
                <w:bCs/>
                <w:lang w:eastAsia="en-GB"/>
              </w:rPr>
            </w:pPr>
            <w:r w:rsidRPr="008B0F8C">
              <w:rPr>
                <w:rFonts w:ascii="Arial" w:hAnsi="Arial" w:cs="Arial"/>
                <w:b/>
                <w:bCs/>
                <w:lang w:eastAsia="en-GB"/>
              </w:rPr>
              <w:t>Closing balance</w:t>
            </w:r>
          </w:p>
        </w:tc>
        <w:tc>
          <w:tcPr>
            <w:tcW w:w="11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807,071</w:t>
            </w:r>
          </w:p>
        </w:tc>
        <w:tc>
          <w:tcPr>
            <w:tcW w:w="1280" w:type="dxa"/>
            <w:tcBorders>
              <w:top w:val="nil"/>
              <w:left w:val="nil"/>
              <w:bottom w:val="nil"/>
              <w:right w:val="nil"/>
            </w:tcBorders>
            <w:shd w:val="clear" w:color="auto" w:fill="auto"/>
            <w:noWrap/>
            <w:vAlign w:val="bottom"/>
            <w:hideMark/>
          </w:tcPr>
          <w:p w:rsidR="008B0F8C" w:rsidRPr="008B0F8C" w:rsidRDefault="008B0F8C" w:rsidP="008B0F8C">
            <w:pPr>
              <w:jc w:val="right"/>
              <w:rPr>
                <w:rFonts w:ascii="Arial" w:hAnsi="Arial" w:cs="Arial"/>
                <w:b/>
                <w:bCs/>
                <w:lang w:eastAsia="en-GB"/>
              </w:rPr>
            </w:pPr>
            <w:r w:rsidRPr="008B0F8C">
              <w:rPr>
                <w:rFonts w:ascii="Arial" w:hAnsi="Arial" w:cs="Arial"/>
                <w:b/>
                <w:bCs/>
                <w:lang w:eastAsia="en-GB"/>
              </w:rPr>
              <w:t>1,255,934</w:t>
            </w:r>
          </w:p>
        </w:tc>
        <w:tc>
          <w:tcPr>
            <w:tcW w:w="180" w:type="dxa"/>
            <w:tcBorders>
              <w:top w:val="nil"/>
              <w:left w:val="nil"/>
              <w:bottom w:val="nil"/>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r w:rsidR="008B0F8C" w:rsidRPr="008B0F8C" w:rsidTr="005E331A">
        <w:trPr>
          <w:trHeight w:val="255"/>
          <w:jc w:val="center"/>
        </w:trPr>
        <w:tc>
          <w:tcPr>
            <w:tcW w:w="200" w:type="dxa"/>
            <w:tcBorders>
              <w:top w:val="nil"/>
              <w:left w:val="single" w:sz="4" w:space="0" w:color="auto"/>
              <w:bottom w:val="single" w:sz="4" w:space="0" w:color="auto"/>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3740" w:type="dxa"/>
            <w:tcBorders>
              <w:top w:val="nil"/>
              <w:left w:val="nil"/>
              <w:bottom w:val="single" w:sz="4" w:space="0" w:color="auto"/>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1180" w:type="dxa"/>
            <w:tcBorders>
              <w:top w:val="nil"/>
              <w:left w:val="nil"/>
              <w:bottom w:val="single" w:sz="4" w:space="0" w:color="auto"/>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1280" w:type="dxa"/>
            <w:tcBorders>
              <w:top w:val="nil"/>
              <w:left w:val="nil"/>
              <w:bottom w:val="single" w:sz="4" w:space="0" w:color="auto"/>
              <w:right w:val="nil"/>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c>
          <w:tcPr>
            <w:tcW w:w="180" w:type="dxa"/>
            <w:tcBorders>
              <w:top w:val="nil"/>
              <w:left w:val="nil"/>
              <w:bottom w:val="single" w:sz="4" w:space="0" w:color="auto"/>
              <w:right w:val="single" w:sz="4" w:space="0" w:color="auto"/>
            </w:tcBorders>
            <w:shd w:val="clear" w:color="auto" w:fill="auto"/>
            <w:noWrap/>
            <w:vAlign w:val="bottom"/>
            <w:hideMark/>
          </w:tcPr>
          <w:p w:rsidR="008B0F8C" w:rsidRPr="008B0F8C" w:rsidRDefault="008B0F8C" w:rsidP="008B0F8C">
            <w:pPr>
              <w:rPr>
                <w:rFonts w:ascii="Arial" w:hAnsi="Arial" w:cs="Arial"/>
                <w:lang w:eastAsia="en-GB"/>
              </w:rPr>
            </w:pPr>
            <w:r w:rsidRPr="008B0F8C">
              <w:rPr>
                <w:rFonts w:ascii="Arial" w:hAnsi="Arial" w:cs="Arial"/>
                <w:lang w:eastAsia="en-GB"/>
              </w:rPr>
              <w:t> </w:t>
            </w:r>
          </w:p>
        </w:tc>
      </w:tr>
    </w:tbl>
    <w:p w:rsidR="00A946C5" w:rsidRDefault="00A946C5" w:rsidP="008B0F8C">
      <w:pPr>
        <w:pStyle w:val="xl50"/>
        <w:spacing w:before="0" w:beforeAutospacing="0" w:after="0" w:afterAutospacing="0"/>
        <w:jc w:val="center"/>
        <w:rPr>
          <w:rFonts w:eastAsia="Times New Roman"/>
          <w:bCs w:val="0"/>
          <w:szCs w:val="20"/>
        </w:rPr>
      </w:pPr>
    </w:p>
    <w:p w:rsidR="00F23FFF" w:rsidRDefault="00F23FFF" w:rsidP="00653E4B">
      <w:pPr>
        <w:jc w:val="center"/>
        <w:rPr>
          <w:rFonts w:ascii="Arial" w:hAnsi="Arial" w:cs="Arial"/>
          <w:bCs/>
          <w:color w:val="000080"/>
          <w:sz w:val="24"/>
        </w:rPr>
      </w:pPr>
    </w:p>
    <w:p w:rsidR="00F23FFF" w:rsidRDefault="00F23FFF">
      <w:pPr>
        <w:rPr>
          <w:rFonts w:ascii="Arial" w:hAnsi="Arial" w:cs="Arial"/>
          <w:bCs/>
          <w:noProof/>
          <w:color w:val="000080"/>
          <w:sz w:val="24"/>
          <w:lang w:eastAsia="en-GB"/>
        </w:rPr>
      </w:pPr>
    </w:p>
    <w:p w:rsidR="00507899" w:rsidRDefault="00507899">
      <w:pPr>
        <w:rPr>
          <w:rFonts w:ascii="Arial" w:hAnsi="Arial" w:cs="Arial"/>
          <w:bCs/>
          <w:noProof/>
          <w:color w:val="000080"/>
          <w:sz w:val="24"/>
          <w:lang w:eastAsia="en-GB"/>
        </w:rPr>
      </w:pPr>
    </w:p>
    <w:p w:rsidR="00AC6E71" w:rsidRDefault="00AC6E71">
      <w:pPr>
        <w:rPr>
          <w:rFonts w:ascii="Arial" w:hAnsi="Arial" w:cs="Arial"/>
          <w:bCs/>
          <w:noProof/>
          <w:color w:val="000080"/>
          <w:sz w:val="24"/>
          <w:lang w:eastAsia="en-GB"/>
        </w:rPr>
      </w:pPr>
    </w:p>
    <w:p w:rsidR="007C49A2" w:rsidRDefault="007C49A2">
      <w:pPr>
        <w:rPr>
          <w:rFonts w:ascii="Arial" w:hAnsi="Arial" w:cs="Arial"/>
          <w:bCs/>
          <w:noProof/>
          <w:color w:val="000080"/>
          <w:sz w:val="24"/>
          <w:lang w:eastAsia="en-GB"/>
        </w:rPr>
      </w:pPr>
    </w:p>
    <w:p w:rsidR="00AC6E71" w:rsidRDefault="00AC6E71">
      <w:pPr>
        <w:rPr>
          <w:rFonts w:ascii="Arial" w:hAnsi="Arial" w:cs="Arial"/>
          <w:bCs/>
          <w:noProof/>
          <w:color w:val="000080"/>
          <w:sz w:val="24"/>
          <w:lang w:eastAsia="en-GB"/>
        </w:rPr>
      </w:pPr>
    </w:p>
    <w:p w:rsidR="00AE4B76" w:rsidRDefault="00AE4B76">
      <w:pPr>
        <w:rPr>
          <w:rFonts w:ascii="Arial" w:hAnsi="Arial" w:cs="Arial"/>
          <w:bCs/>
          <w:noProof/>
          <w:color w:val="000080"/>
          <w:sz w:val="24"/>
          <w:lang w:eastAsia="en-GB"/>
        </w:rPr>
      </w:pPr>
    </w:p>
    <w:p w:rsidR="00507899" w:rsidRDefault="00507899">
      <w:pPr>
        <w:rPr>
          <w:rFonts w:ascii="Arial" w:hAnsi="Arial" w:cs="Arial"/>
          <w:bCs/>
          <w:noProof/>
          <w:color w:val="000080"/>
          <w:sz w:val="24"/>
          <w:lang w:eastAsia="en-GB"/>
        </w:rPr>
      </w:pPr>
    </w:p>
    <w:p w:rsidR="00653E4B" w:rsidRDefault="00143800">
      <w:pPr>
        <w:rPr>
          <w:rFonts w:ascii="Arial" w:hAnsi="Arial" w:cs="Arial"/>
          <w:bCs/>
          <w:color w:val="000080"/>
          <w:sz w:val="24"/>
        </w:rPr>
      </w:pPr>
      <w:r>
        <w:rPr>
          <w:rFonts w:ascii="Arial" w:hAnsi="Arial" w:cs="Arial"/>
          <w:bCs/>
          <w:color w:val="000080"/>
          <w:sz w:val="24"/>
        </w:rPr>
        <w:t>Heritage Assets</w:t>
      </w:r>
    </w:p>
    <w:p w:rsidR="00143800" w:rsidRPr="00143800" w:rsidRDefault="00143800">
      <w:pPr>
        <w:rPr>
          <w:rFonts w:ascii="Arial" w:hAnsi="Arial" w:cs="Arial"/>
          <w:bCs/>
          <w:color w:val="000080"/>
          <w:sz w:val="24"/>
        </w:rPr>
      </w:pPr>
    </w:p>
    <w:p w:rsidR="00653E4B" w:rsidRPr="00A946C5" w:rsidRDefault="00653E4B">
      <w:pPr>
        <w:rPr>
          <w:rFonts w:ascii="Arial" w:hAnsi="Arial" w:cs="Arial"/>
          <w:bCs/>
          <w:noProof/>
          <w:sz w:val="22"/>
          <w:szCs w:val="22"/>
          <w:lang w:eastAsia="en-GB"/>
        </w:rPr>
      </w:pPr>
    </w:p>
    <w:p w:rsidR="003E592F" w:rsidRDefault="00A946C5">
      <w:pPr>
        <w:rPr>
          <w:rFonts w:ascii="Arial" w:hAnsi="Arial" w:cs="Arial"/>
          <w:bCs/>
          <w:noProof/>
          <w:sz w:val="22"/>
          <w:szCs w:val="22"/>
          <w:lang w:eastAsia="en-GB"/>
        </w:rPr>
      </w:pPr>
      <w:r w:rsidRPr="00A946C5">
        <w:rPr>
          <w:rFonts w:ascii="Arial" w:hAnsi="Arial" w:cs="Arial"/>
          <w:bCs/>
          <w:noProof/>
          <w:sz w:val="22"/>
          <w:szCs w:val="22"/>
          <w:lang w:eastAsia="en-GB"/>
        </w:rPr>
        <w:t>Heritage assets are those assets that are intended to be held in trust for future generations because of their cultural, environmental or historical associations and include historical buildings, civic regalia and works of art</w:t>
      </w:r>
      <w:r>
        <w:rPr>
          <w:rFonts w:ascii="Arial" w:hAnsi="Arial" w:cs="Arial"/>
          <w:bCs/>
          <w:noProof/>
          <w:sz w:val="22"/>
          <w:szCs w:val="22"/>
          <w:lang w:eastAsia="en-GB"/>
        </w:rPr>
        <w:t xml:space="preserve">. </w:t>
      </w:r>
    </w:p>
    <w:p w:rsidR="00A946C5" w:rsidRPr="00A946C5" w:rsidRDefault="00420744">
      <w:pPr>
        <w:rPr>
          <w:rFonts w:ascii="Arial" w:hAnsi="Arial" w:cs="Arial"/>
          <w:bCs/>
          <w:noProof/>
          <w:sz w:val="22"/>
          <w:szCs w:val="22"/>
          <w:lang w:eastAsia="en-GB"/>
        </w:rPr>
      </w:pPr>
      <w:r>
        <w:rPr>
          <w:rFonts w:ascii="Arial" w:hAnsi="Arial" w:cs="Arial"/>
          <w:bCs/>
          <w:noProof/>
          <w:sz w:val="22"/>
          <w:szCs w:val="22"/>
          <w:lang w:eastAsia="en-GB"/>
        </w:rPr>
        <w:t xml:space="preserve">Heritage assets held include </w:t>
      </w:r>
      <w:r w:rsidR="00A946C5">
        <w:rPr>
          <w:rFonts w:ascii="Arial" w:hAnsi="Arial" w:cs="Arial"/>
          <w:bCs/>
          <w:noProof/>
          <w:sz w:val="22"/>
          <w:szCs w:val="22"/>
          <w:lang w:eastAsia="en-GB"/>
        </w:rPr>
        <w:t xml:space="preserve">St Denys’ Church, East Hatley </w:t>
      </w:r>
      <w:r>
        <w:rPr>
          <w:rFonts w:ascii="Arial" w:hAnsi="Arial" w:cs="Arial"/>
          <w:bCs/>
          <w:noProof/>
          <w:sz w:val="22"/>
          <w:szCs w:val="22"/>
          <w:lang w:eastAsia="en-GB"/>
        </w:rPr>
        <w:t xml:space="preserve">which </w:t>
      </w:r>
      <w:r w:rsidR="00A946C5">
        <w:rPr>
          <w:rFonts w:ascii="Arial" w:hAnsi="Arial" w:cs="Arial"/>
          <w:bCs/>
          <w:noProof/>
          <w:sz w:val="22"/>
          <w:szCs w:val="22"/>
          <w:lang w:eastAsia="en-GB"/>
        </w:rPr>
        <w:t xml:space="preserve">is </w:t>
      </w:r>
      <w:r w:rsidR="001F590D">
        <w:rPr>
          <w:rFonts w:ascii="Arial" w:hAnsi="Arial" w:cs="Arial"/>
          <w:bCs/>
          <w:noProof/>
          <w:sz w:val="22"/>
          <w:szCs w:val="22"/>
          <w:lang w:eastAsia="en-GB"/>
        </w:rPr>
        <w:t xml:space="preserve">owned and </w:t>
      </w:r>
      <w:r w:rsidR="00A946C5">
        <w:rPr>
          <w:rFonts w:ascii="Arial" w:hAnsi="Arial" w:cs="Arial"/>
          <w:bCs/>
          <w:noProof/>
          <w:sz w:val="22"/>
          <w:szCs w:val="22"/>
          <w:lang w:eastAsia="en-GB"/>
        </w:rPr>
        <w:t xml:space="preserve">maintained by the Council </w:t>
      </w:r>
      <w:r>
        <w:rPr>
          <w:rFonts w:ascii="Arial" w:hAnsi="Arial" w:cs="Arial"/>
          <w:bCs/>
          <w:noProof/>
          <w:sz w:val="22"/>
          <w:szCs w:val="22"/>
          <w:lang w:eastAsia="en-GB"/>
        </w:rPr>
        <w:t xml:space="preserve">and </w:t>
      </w:r>
      <w:r w:rsidR="00A946C5">
        <w:rPr>
          <w:rFonts w:ascii="Arial" w:hAnsi="Arial" w:cs="Arial"/>
          <w:bCs/>
          <w:noProof/>
          <w:sz w:val="22"/>
          <w:szCs w:val="22"/>
          <w:lang w:eastAsia="en-GB"/>
        </w:rPr>
        <w:t xml:space="preserve">is included in the Council’s accounts at </w:t>
      </w:r>
      <w:r>
        <w:rPr>
          <w:rFonts w:ascii="Arial" w:hAnsi="Arial" w:cs="Arial"/>
          <w:bCs/>
          <w:noProof/>
          <w:sz w:val="22"/>
          <w:szCs w:val="22"/>
          <w:lang w:eastAsia="en-GB"/>
        </w:rPr>
        <w:t>insurance valuation</w:t>
      </w:r>
      <w:r w:rsidR="00DA3DAF">
        <w:rPr>
          <w:rFonts w:ascii="Arial" w:hAnsi="Arial" w:cs="Arial"/>
          <w:bCs/>
          <w:noProof/>
          <w:sz w:val="22"/>
          <w:szCs w:val="22"/>
          <w:lang w:eastAsia="en-GB"/>
        </w:rPr>
        <w:t xml:space="preserve">, </w:t>
      </w:r>
      <w:r w:rsidR="003E592F">
        <w:rPr>
          <w:rFonts w:ascii="Arial" w:hAnsi="Arial" w:cs="Arial"/>
          <w:bCs/>
          <w:noProof/>
          <w:sz w:val="22"/>
          <w:szCs w:val="22"/>
          <w:lang w:eastAsia="en-GB"/>
        </w:rPr>
        <w:t xml:space="preserve">the property </w:t>
      </w:r>
      <w:r w:rsidR="008B0F8C">
        <w:rPr>
          <w:rFonts w:ascii="Arial" w:hAnsi="Arial" w:cs="Arial"/>
          <w:bCs/>
          <w:noProof/>
          <w:sz w:val="22"/>
          <w:szCs w:val="22"/>
          <w:lang w:eastAsia="en-GB"/>
        </w:rPr>
        <w:t>has been transferred to assets held for sale</w:t>
      </w:r>
      <w:r w:rsidR="00DA3DAF">
        <w:rPr>
          <w:rFonts w:ascii="Arial" w:hAnsi="Arial" w:cs="Arial"/>
          <w:bCs/>
          <w:noProof/>
          <w:sz w:val="22"/>
          <w:szCs w:val="22"/>
          <w:lang w:eastAsia="en-GB"/>
        </w:rPr>
        <w:t>,</w:t>
      </w:r>
      <w:r w:rsidR="00190D9C">
        <w:rPr>
          <w:rFonts w:ascii="Arial" w:hAnsi="Arial" w:cs="Arial"/>
          <w:bCs/>
          <w:noProof/>
          <w:sz w:val="22"/>
          <w:szCs w:val="22"/>
          <w:lang w:eastAsia="en-GB"/>
        </w:rPr>
        <w:t xml:space="preserve"> in accordance with the Statement of Accounting Policies</w:t>
      </w:r>
      <w:r w:rsidR="005D00E8">
        <w:rPr>
          <w:rFonts w:ascii="Arial" w:hAnsi="Arial" w:cs="Arial"/>
          <w:bCs/>
          <w:noProof/>
          <w:sz w:val="22"/>
          <w:szCs w:val="22"/>
          <w:lang w:eastAsia="en-GB"/>
        </w:rPr>
        <w:t>. O</w:t>
      </w:r>
      <w:r>
        <w:rPr>
          <w:rFonts w:ascii="Arial" w:hAnsi="Arial" w:cs="Arial"/>
          <w:bCs/>
          <w:noProof/>
          <w:sz w:val="22"/>
          <w:szCs w:val="22"/>
          <w:lang w:eastAsia="en-GB"/>
        </w:rPr>
        <w:t>ther heritage assets held</w:t>
      </w:r>
      <w:r w:rsidR="00190D9C">
        <w:rPr>
          <w:rFonts w:ascii="Arial" w:hAnsi="Arial" w:cs="Arial"/>
          <w:bCs/>
          <w:noProof/>
          <w:sz w:val="22"/>
          <w:szCs w:val="22"/>
          <w:lang w:eastAsia="en-GB"/>
        </w:rPr>
        <w:t xml:space="preserve"> include civic regalia, Landbeach Tithe Barn</w:t>
      </w:r>
      <w:r w:rsidR="00DA3DAF">
        <w:rPr>
          <w:rFonts w:ascii="Arial" w:hAnsi="Arial" w:cs="Arial"/>
          <w:bCs/>
          <w:noProof/>
          <w:sz w:val="22"/>
          <w:szCs w:val="22"/>
          <w:lang w:eastAsia="en-GB"/>
        </w:rPr>
        <w:t>,</w:t>
      </w:r>
      <w:r w:rsidR="00190D9C">
        <w:rPr>
          <w:rFonts w:ascii="Arial" w:hAnsi="Arial" w:cs="Arial"/>
          <w:bCs/>
          <w:noProof/>
          <w:sz w:val="22"/>
          <w:szCs w:val="22"/>
          <w:lang w:eastAsia="en-GB"/>
        </w:rPr>
        <w:t xml:space="preserve"> a woven wall hanging</w:t>
      </w:r>
      <w:r w:rsidR="00DA3DAF" w:rsidRPr="00DA3DAF">
        <w:rPr>
          <w:rFonts w:ascii="Arial" w:hAnsi="Arial" w:cs="Arial"/>
          <w:bCs/>
          <w:noProof/>
          <w:sz w:val="22"/>
          <w:szCs w:val="22"/>
          <w:lang w:eastAsia="en-GB"/>
        </w:rPr>
        <w:t xml:space="preserve"> </w:t>
      </w:r>
      <w:r w:rsidR="00DA3DAF">
        <w:rPr>
          <w:rFonts w:ascii="Arial" w:hAnsi="Arial" w:cs="Arial"/>
          <w:bCs/>
          <w:noProof/>
          <w:sz w:val="22"/>
          <w:szCs w:val="22"/>
          <w:lang w:eastAsia="en-GB"/>
        </w:rPr>
        <w:t>and two vases</w:t>
      </w:r>
      <w:r w:rsidR="00190D9C">
        <w:rPr>
          <w:rFonts w:ascii="Arial" w:hAnsi="Arial" w:cs="Arial"/>
          <w:bCs/>
          <w:noProof/>
          <w:sz w:val="22"/>
          <w:szCs w:val="22"/>
          <w:lang w:eastAsia="en-GB"/>
        </w:rPr>
        <w:t>, these items not considered to be of material value.</w:t>
      </w:r>
    </w:p>
    <w:p w:rsidR="00507899" w:rsidRDefault="00507899">
      <w:pPr>
        <w:rPr>
          <w:rFonts w:ascii="Arial" w:hAnsi="Arial" w:cs="Arial"/>
          <w:bCs/>
          <w:noProof/>
          <w:sz w:val="22"/>
          <w:szCs w:val="22"/>
          <w:lang w:eastAsia="en-GB"/>
        </w:rPr>
      </w:pPr>
    </w:p>
    <w:p w:rsidR="00143800" w:rsidRPr="00A946C5" w:rsidRDefault="00143800">
      <w:pPr>
        <w:rPr>
          <w:rFonts w:ascii="Arial" w:hAnsi="Arial" w:cs="Arial"/>
          <w:bCs/>
          <w:noProof/>
          <w:sz w:val="22"/>
          <w:szCs w:val="22"/>
          <w:lang w:eastAsia="en-GB"/>
        </w:rPr>
      </w:pPr>
    </w:p>
    <w:p w:rsidR="00DA3DAF" w:rsidRDefault="008B0F8C" w:rsidP="005E331A">
      <w:pPr>
        <w:ind w:left="-851" w:right="-540"/>
        <w:jc w:val="center"/>
        <w:rPr>
          <w:rFonts w:ascii="Arial" w:hAnsi="Arial" w:cs="Arial"/>
          <w:bCs/>
          <w:noProof/>
          <w:color w:val="000080"/>
          <w:sz w:val="24"/>
          <w:lang w:eastAsia="en-GB"/>
        </w:rPr>
      </w:pPr>
      <w:r w:rsidRPr="008B0F8C">
        <w:rPr>
          <w:noProof/>
          <w:lang w:eastAsia="en-GB"/>
        </w:rPr>
        <w:drawing>
          <wp:inline distT="0" distB="0" distL="0" distR="0" wp14:anchorId="4AA145F5" wp14:editId="280592C9">
            <wp:extent cx="6074719" cy="4999888"/>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0298" cy="5004480"/>
                    </a:xfrm>
                    <a:prstGeom prst="rect">
                      <a:avLst/>
                    </a:prstGeom>
                    <a:noFill/>
                    <a:ln>
                      <a:noFill/>
                    </a:ln>
                  </pic:spPr>
                </pic:pic>
              </a:graphicData>
            </a:graphic>
          </wp:inline>
        </w:drawing>
      </w:r>
    </w:p>
    <w:p w:rsidR="00653E4B" w:rsidRDefault="00653E4B">
      <w:pPr>
        <w:rPr>
          <w:rFonts w:ascii="Arial" w:hAnsi="Arial" w:cs="Arial"/>
          <w:bCs/>
          <w:noProof/>
          <w:color w:val="000080"/>
          <w:sz w:val="24"/>
          <w:lang w:eastAsia="en-GB"/>
        </w:rPr>
      </w:pPr>
    </w:p>
    <w:p w:rsidR="00653E4B" w:rsidRDefault="00653E4B">
      <w:pPr>
        <w:rPr>
          <w:rFonts w:ascii="Arial" w:hAnsi="Arial" w:cs="Arial"/>
          <w:bCs/>
          <w:noProof/>
          <w:color w:val="000080"/>
          <w:sz w:val="24"/>
          <w:lang w:eastAsia="en-GB"/>
        </w:rPr>
      </w:pPr>
    </w:p>
    <w:p w:rsidR="00653E4B" w:rsidRDefault="00653E4B">
      <w:pPr>
        <w:rPr>
          <w:rFonts w:ascii="Arial" w:hAnsi="Arial" w:cs="Arial"/>
          <w:bCs/>
          <w:noProof/>
          <w:color w:val="000080"/>
          <w:sz w:val="24"/>
          <w:lang w:eastAsia="en-GB"/>
        </w:rPr>
      </w:pPr>
    </w:p>
    <w:p w:rsidR="00653E4B" w:rsidRDefault="00653E4B">
      <w:pPr>
        <w:rPr>
          <w:rFonts w:ascii="Arial" w:hAnsi="Arial" w:cs="Arial"/>
          <w:bCs/>
          <w:noProof/>
          <w:color w:val="000080"/>
          <w:sz w:val="24"/>
          <w:lang w:eastAsia="en-GB"/>
        </w:rPr>
      </w:pPr>
    </w:p>
    <w:p w:rsidR="00653E4B" w:rsidRDefault="00653E4B">
      <w:pPr>
        <w:rPr>
          <w:rFonts w:ascii="Arial" w:hAnsi="Arial" w:cs="Arial"/>
          <w:bCs/>
          <w:noProof/>
          <w:color w:val="000080"/>
          <w:sz w:val="24"/>
          <w:lang w:eastAsia="en-GB"/>
        </w:rPr>
      </w:pPr>
    </w:p>
    <w:p w:rsidR="00507899" w:rsidRDefault="00507899">
      <w:pPr>
        <w:rPr>
          <w:rFonts w:ascii="Arial" w:hAnsi="Arial" w:cs="Arial"/>
          <w:bCs/>
          <w:color w:val="000080"/>
          <w:sz w:val="24"/>
        </w:rPr>
      </w:pPr>
    </w:p>
    <w:p w:rsidR="00AC6E71" w:rsidRDefault="00AC6E71">
      <w:pPr>
        <w:rPr>
          <w:rFonts w:ascii="Arial" w:hAnsi="Arial" w:cs="Arial"/>
          <w:bCs/>
          <w:color w:val="000080"/>
          <w:sz w:val="24"/>
        </w:rPr>
      </w:pPr>
    </w:p>
    <w:p w:rsidR="00AC6E71" w:rsidRDefault="00AC6E71">
      <w:pPr>
        <w:rPr>
          <w:rFonts w:ascii="Arial" w:hAnsi="Arial" w:cs="Arial"/>
          <w:bCs/>
          <w:color w:val="000080"/>
          <w:sz w:val="24"/>
        </w:rPr>
      </w:pPr>
    </w:p>
    <w:p w:rsidR="00F23FFF" w:rsidRPr="00A946C5" w:rsidRDefault="003552BC">
      <w:pPr>
        <w:rPr>
          <w:rFonts w:ascii="Arial" w:hAnsi="Arial" w:cs="Arial"/>
          <w:bCs/>
          <w:color w:val="000080"/>
          <w:sz w:val="24"/>
        </w:rPr>
      </w:pPr>
      <w:r w:rsidRPr="00A946C5">
        <w:rPr>
          <w:rFonts w:ascii="Arial" w:hAnsi="Arial" w:cs="Arial"/>
          <w:bCs/>
          <w:color w:val="000080"/>
          <w:sz w:val="24"/>
        </w:rPr>
        <w:t>Revaluations</w:t>
      </w:r>
    </w:p>
    <w:p w:rsidR="00F23FFF" w:rsidRDefault="00F23FFF">
      <w:pPr>
        <w:rPr>
          <w:rFonts w:ascii="Arial" w:hAnsi="Arial" w:cs="Arial"/>
          <w:bCs/>
          <w:color w:val="000080"/>
          <w:sz w:val="24"/>
        </w:rPr>
      </w:pPr>
    </w:p>
    <w:p w:rsidR="00F23FFF" w:rsidRPr="00A727A2" w:rsidRDefault="003552BC">
      <w:pPr>
        <w:pStyle w:val="xl65"/>
        <w:spacing w:before="0" w:beforeAutospacing="0" w:after="0" w:afterAutospacing="0"/>
        <w:rPr>
          <w:rFonts w:eastAsia="Times New Roman"/>
          <w:bCs/>
          <w:szCs w:val="20"/>
        </w:rPr>
      </w:pPr>
      <w:r>
        <w:rPr>
          <w:rFonts w:eastAsia="Times New Roman"/>
          <w:bCs/>
          <w:szCs w:val="20"/>
        </w:rPr>
        <w:t xml:space="preserve">The Council carries out a programme that ensures that all Property, Plant and </w:t>
      </w:r>
      <w:r w:rsidRPr="00A727A2">
        <w:rPr>
          <w:rFonts w:eastAsia="Times New Roman"/>
          <w:bCs/>
          <w:szCs w:val="20"/>
        </w:rPr>
        <w:t>Equipment required to be measured at fair value is re</w:t>
      </w:r>
      <w:r w:rsidR="00923995" w:rsidRPr="00A727A2">
        <w:rPr>
          <w:rFonts w:eastAsia="Times New Roman"/>
          <w:bCs/>
          <w:szCs w:val="20"/>
        </w:rPr>
        <w:t>-</w:t>
      </w:r>
      <w:r w:rsidRPr="00A727A2">
        <w:rPr>
          <w:rFonts w:eastAsia="Times New Roman"/>
          <w:bCs/>
          <w:szCs w:val="20"/>
        </w:rPr>
        <w:t>valued at least every five years</w:t>
      </w:r>
      <w:r w:rsidR="00923995" w:rsidRPr="00A727A2">
        <w:rPr>
          <w:rFonts w:eastAsia="Times New Roman"/>
          <w:bCs/>
          <w:szCs w:val="20"/>
        </w:rPr>
        <w:t>.</w:t>
      </w:r>
    </w:p>
    <w:p w:rsidR="00F23FFF" w:rsidRPr="00A727A2" w:rsidRDefault="00F23FFF">
      <w:pPr>
        <w:rPr>
          <w:rFonts w:ascii="Arial" w:hAnsi="Arial" w:cs="Arial"/>
          <w:bCs/>
          <w:color w:val="000080"/>
          <w:sz w:val="24"/>
        </w:rPr>
      </w:pPr>
    </w:p>
    <w:p w:rsidR="00F23FFF" w:rsidRPr="00A727A2" w:rsidRDefault="003552BC">
      <w:pPr>
        <w:pStyle w:val="xl65"/>
        <w:spacing w:before="0" w:beforeAutospacing="0" w:after="0" w:afterAutospacing="0"/>
        <w:rPr>
          <w:rFonts w:eastAsia="Times New Roman"/>
          <w:szCs w:val="20"/>
        </w:rPr>
      </w:pPr>
      <w:r w:rsidRPr="00A727A2">
        <w:rPr>
          <w:rFonts w:eastAsia="Times New Roman"/>
          <w:szCs w:val="20"/>
        </w:rPr>
        <w:t>Valuations on the bases set out in the statement of accounting policies have been carried out for:</w:t>
      </w:r>
    </w:p>
    <w:p w:rsidR="00F23FFF" w:rsidRPr="00A727A2" w:rsidRDefault="00F23FFF">
      <w:pPr>
        <w:ind w:left="426"/>
        <w:rPr>
          <w:rFonts w:ascii="Arial" w:hAnsi="Arial" w:cs="Arial"/>
          <w:sz w:val="22"/>
        </w:rPr>
      </w:pPr>
    </w:p>
    <w:p w:rsidR="00F23FFF" w:rsidRPr="00A727A2" w:rsidRDefault="00923995">
      <w:pPr>
        <w:numPr>
          <w:ilvl w:val="0"/>
          <w:numId w:val="7"/>
        </w:numPr>
        <w:rPr>
          <w:rFonts w:ascii="Arial" w:hAnsi="Arial" w:cs="Arial"/>
          <w:sz w:val="22"/>
        </w:rPr>
      </w:pPr>
      <w:r w:rsidRPr="00A727A2">
        <w:rPr>
          <w:rFonts w:ascii="Arial" w:hAnsi="Arial" w:cs="Arial"/>
          <w:sz w:val="22"/>
        </w:rPr>
        <w:t>Council dwellings and non-</w:t>
      </w:r>
      <w:r w:rsidR="003552BC" w:rsidRPr="00A727A2">
        <w:rPr>
          <w:rFonts w:ascii="Arial" w:hAnsi="Arial" w:cs="Arial"/>
          <w:sz w:val="22"/>
        </w:rPr>
        <w:t xml:space="preserve">operational assets relating to the Housing Revenue Account as at 31 March 2010 by Mr Andrew Wilcox, MRICS, District Valuer, East of England; and reviewed </w:t>
      </w:r>
      <w:r w:rsidR="005B7AD2">
        <w:rPr>
          <w:rFonts w:ascii="Arial" w:hAnsi="Arial" w:cs="Arial"/>
          <w:sz w:val="22"/>
        </w:rPr>
        <w:t xml:space="preserve">by </w:t>
      </w:r>
      <w:r w:rsidR="00412DC1">
        <w:rPr>
          <w:rFonts w:ascii="Arial" w:hAnsi="Arial" w:cs="Arial"/>
          <w:sz w:val="22"/>
        </w:rPr>
        <w:t>Mr Paul Gedge, MRICS,</w:t>
      </w:r>
      <w:r w:rsidR="005B7AD2">
        <w:rPr>
          <w:rFonts w:ascii="Arial" w:hAnsi="Arial" w:cs="Arial"/>
          <w:sz w:val="22"/>
        </w:rPr>
        <w:t xml:space="preserve"> </w:t>
      </w:r>
      <w:r w:rsidR="003552BC" w:rsidRPr="00A727A2">
        <w:rPr>
          <w:rFonts w:ascii="Arial" w:hAnsi="Arial" w:cs="Arial"/>
          <w:sz w:val="22"/>
        </w:rPr>
        <w:t>as at 31 March 201</w:t>
      </w:r>
      <w:r w:rsidR="008B0F8C">
        <w:rPr>
          <w:rFonts w:ascii="Arial" w:hAnsi="Arial" w:cs="Arial"/>
          <w:sz w:val="22"/>
        </w:rPr>
        <w:t>4</w:t>
      </w:r>
      <w:r w:rsidR="003552BC" w:rsidRPr="00A727A2">
        <w:rPr>
          <w:rFonts w:ascii="Arial" w:hAnsi="Arial" w:cs="Arial"/>
          <w:sz w:val="22"/>
        </w:rPr>
        <w:t xml:space="preserve"> and</w:t>
      </w:r>
    </w:p>
    <w:p w:rsidR="00F23FFF" w:rsidRPr="00A727A2" w:rsidRDefault="00F23FFF">
      <w:pPr>
        <w:ind w:left="426"/>
        <w:rPr>
          <w:rFonts w:ascii="Arial" w:hAnsi="Arial" w:cs="Arial"/>
          <w:sz w:val="22"/>
        </w:rPr>
      </w:pPr>
    </w:p>
    <w:p w:rsidR="00F23FFF" w:rsidRPr="00A727A2" w:rsidRDefault="003552BC">
      <w:pPr>
        <w:numPr>
          <w:ilvl w:val="0"/>
          <w:numId w:val="7"/>
        </w:numPr>
        <w:rPr>
          <w:rFonts w:ascii="Arial" w:hAnsi="Arial" w:cs="Arial"/>
          <w:sz w:val="22"/>
        </w:rPr>
      </w:pPr>
      <w:r w:rsidRPr="00A727A2">
        <w:rPr>
          <w:rFonts w:ascii="Arial" w:hAnsi="Arial" w:cs="Arial"/>
          <w:sz w:val="22"/>
        </w:rPr>
        <w:t xml:space="preserve">Other land and buildings and valued as at 31 March 2010 by </w:t>
      </w:r>
      <w:r w:rsidR="0020574F" w:rsidRPr="00A727A2">
        <w:rPr>
          <w:rFonts w:ascii="Arial" w:hAnsi="Arial" w:cs="Arial"/>
          <w:sz w:val="22"/>
        </w:rPr>
        <w:t>Mr</w:t>
      </w:r>
      <w:r w:rsidRPr="00A727A2">
        <w:rPr>
          <w:rFonts w:ascii="Arial" w:hAnsi="Arial" w:cs="Arial"/>
          <w:sz w:val="22"/>
        </w:rPr>
        <w:t xml:space="preserve"> Gary Bradbury, MRICS, District Valuer, East of England, and reviewed as at 31 March 201</w:t>
      </w:r>
      <w:r w:rsidR="008B0F8C">
        <w:rPr>
          <w:rFonts w:ascii="Arial" w:hAnsi="Arial" w:cs="Arial"/>
          <w:sz w:val="22"/>
        </w:rPr>
        <w:t>4</w:t>
      </w:r>
      <w:r w:rsidR="005B7AD2">
        <w:rPr>
          <w:rFonts w:ascii="Arial" w:hAnsi="Arial" w:cs="Arial"/>
          <w:sz w:val="22"/>
        </w:rPr>
        <w:t xml:space="preserve"> by</w:t>
      </w:r>
      <w:r w:rsidR="005B7AD2" w:rsidRPr="00A727A2">
        <w:rPr>
          <w:rFonts w:ascii="Arial" w:hAnsi="Arial" w:cs="Arial"/>
          <w:sz w:val="22"/>
        </w:rPr>
        <w:t xml:space="preserve"> Mr </w:t>
      </w:r>
      <w:r w:rsidR="00412DC1">
        <w:rPr>
          <w:rFonts w:ascii="Arial" w:hAnsi="Arial" w:cs="Arial"/>
          <w:sz w:val="22"/>
        </w:rPr>
        <w:t>Paul Gedge</w:t>
      </w:r>
      <w:r w:rsidR="005B7AD2" w:rsidRPr="00A727A2">
        <w:rPr>
          <w:rFonts w:ascii="Arial" w:hAnsi="Arial" w:cs="Arial"/>
          <w:sz w:val="22"/>
        </w:rPr>
        <w:t>, MRICS, District Valuer, East of England</w:t>
      </w:r>
      <w:r w:rsidR="008B0F8C">
        <w:rPr>
          <w:rFonts w:ascii="Arial" w:hAnsi="Arial" w:cs="Arial"/>
          <w:sz w:val="22"/>
        </w:rPr>
        <w:t>.</w:t>
      </w:r>
    </w:p>
    <w:p w:rsidR="00F23FFF" w:rsidRDefault="00F23FFF">
      <w:pPr>
        <w:rPr>
          <w:rFonts w:ascii="Arial" w:hAnsi="Arial" w:cs="Arial"/>
          <w:sz w:val="22"/>
        </w:rPr>
      </w:pPr>
    </w:p>
    <w:p w:rsidR="00F23FFF" w:rsidRDefault="00F23FFF">
      <w:pPr>
        <w:ind w:left="426"/>
        <w:rPr>
          <w:rFonts w:ascii="Arial" w:hAnsi="Arial" w:cs="Arial"/>
          <w:sz w:val="22"/>
        </w:rPr>
      </w:pPr>
    </w:p>
    <w:p w:rsidR="00F23FFF" w:rsidRDefault="003552BC">
      <w:pPr>
        <w:ind w:left="567"/>
        <w:rPr>
          <w:rFonts w:ascii="Arial" w:hAnsi="Arial" w:cs="Arial"/>
          <w:sz w:val="22"/>
        </w:rPr>
      </w:pPr>
      <w:r>
        <w:rPr>
          <w:rFonts w:ascii="Arial" w:hAnsi="Arial" w:cs="Arial"/>
          <w:sz w:val="22"/>
        </w:rPr>
        <w:t xml:space="preserve">The Council is not aware of any events or circumstances which indicate that the amounts stated in the balance sheet for non-current assets may not be realisable, as at the balance sheet date. Council dwellings are valued on the prescribed basis set out in </w:t>
      </w:r>
      <w:r w:rsidRPr="00412DC1">
        <w:rPr>
          <w:rFonts w:ascii="Arial" w:hAnsi="Arial" w:cs="Arial"/>
          <w:sz w:val="22"/>
        </w:rPr>
        <w:t xml:space="preserve">note </w:t>
      </w:r>
      <w:r w:rsidR="001671C0">
        <w:rPr>
          <w:rFonts w:ascii="Arial" w:hAnsi="Arial" w:cs="Arial"/>
          <w:sz w:val="22"/>
        </w:rPr>
        <w:t>40</w:t>
      </w:r>
      <w:r w:rsidRPr="00412DC1">
        <w:rPr>
          <w:rFonts w:ascii="Arial" w:hAnsi="Arial" w:cs="Arial"/>
          <w:sz w:val="22"/>
        </w:rPr>
        <w:t>. In</w:t>
      </w:r>
      <w:r>
        <w:rPr>
          <w:rFonts w:ascii="Arial" w:hAnsi="Arial" w:cs="Arial"/>
          <w:sz w:val="22"/>
        </w:rPr>
        <w:t xml:space="preserve"> the event that the dwellings are transferred to a housing association, then the valuation method for such a transfer is entirely different and produces a much lower valuation.</w:t>
      </w:r>
    </w:p>
    <w:p w:rsidR="00F23FFF" w:rsidRDefault="00F23FFF">
      <w:pPr>
        <w:rPr>
          <w:rFonts w:ascii="Arial" w:hAnsi="Arial" w:cs="Arial"/>
          <w:bCs/>
          <w:color w:val="000080"/>
          <w:sz w:val="24"/>
        </w:rPr>
      </w:pPr>
    </w:p>
    <w:p w:rsidR="00F23FFF" w:rsidRDefault="003552BC">
      <w:pPr>
        <w:ind w:firstLine="567"/>
        <w:rPr>
          <w:rFonts w:ascii="Arial" w:hAnsi="Arial" w:cs="Arial"/>
          <w:sz w:val="22"/>
        </w:rPr>
      </w:pPr>
      <w:r>
        <w:rPr>
          <w:rFonts w:ascii="Arial" w:hAnsi="Arial" w:cs="Arial"/>
          <w:sz w:val="22"/>
        </w:rPr>
        <w:t>An analysis of non-current assets is:</w:t>
      </w:r>
    </w:p>
    <w:p w:rsidR="00F23FFF" w:rsidRDefault="00F23FFF">
      <w:pPr>
        <w:rPr>
          <w:rFonts w:ascii="Arial" w:hAnsi="Arial" w:cs="Arial"/>
          <w:bCs/>
          <w:color w:val="000080"/>
          <w:sz w:val="24"/>
        </w:rPr>
      </w:pPr>
    </w:p>
    <w:p w:rsidR="00F23FFF" w:rsidRDefault="00697B2F" w:rsidP="00697B2F">
      <w:pPr>
        <w:jc w:val="center"/>
        <w:rPr>
          <w:rFonts w:ascii="Arial" w:hAnsi="Arial" w:cs="Arial"/>
          <w:bCs/>
          <w:color w:val="000080"/>
          <w:sz w:val="24"/>
        </w:rPr>
      </w:pPr>
      <w:r w:rsidRPr="00697B2F">
        <w:rPr>
          <w:noProof/>
          <w:lang w:eastAsia="en-GB"/>
        </w:rPr>
        <w:drawing>
          <wp:inline distT="0" distB="0" distL="0" distR="0">
            <wp:extent cx="4762500" cy="3181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1931C7" w:rsidRDefault="001931C7" w:rsidP="00AC6E71">
      <w:pPr>
        <w:jc w:val="center"/>
        <w:rPr>
          <w:rFonts w:ascii="Arial" w:hAnsi="Arial" w:cs="Arial"/>
          <w:bCs/>
          <w:color w:val="000080"/>
          <w:sz w:val="24"/>
        </w:rPr>
      </w:pPr>
    </w:p>
    <w:p w:rsidR="001931C7" w:rsidRDefault="001931C7">
      <w:pPr>
        <w:rPr>
          <w:rFonts w:ascii="Arial" w:hAnsi="Arial" w:cs="Arial"/>
          <w:bCs/>
          <w:color w:val="000080"/>
          <w:sz w:val="24"/>
        </w:rPr>
      </w:pPr>
    </w:p>
    <w:p w:rsidR="001931C7" w:rsidRDefault="001931C7">
      <w:pPr>
        <w:rPr>
          <w:rFonts w:ascii="Arial" w:hAnsi="Arial" w:cs="Arial"/>
          <w:bCs/>
          <w:color w:val="000080"/>
          <w:sz w:val="24"/>
        </w:rPr>
      </w:pPr>
    </w:p>
    <w:p w:rsidR="001931C7" w:rsidRDefault="001931C7">
      <w:pPr>
        <w:rPr>
          <w:rFonts w:ascii="Arial" w:hAnsi="Arial" w:cs="Arial"/>
          <w:bCs/>
          <w:color w:val="000080"/>
          <w:sz w:val="24"/>
        </w:rPr>
      </w:pPr>
    </w:p>
    <w:p w:rsidR="001931C7" w:rsidRDefault="001931C7">
      <w:pPr>
        <w:rPr>
          <w:rFonts w:ascii="Arial" w:hAnsi="Arial" w:cs="Arial"/>
          <w:bCs/>
          <w:color w:val="000080"/>
          <w:sz w:val="24"/>
        </w:rPr>
      </w:pPr>
    </w:p>
    <w:p w:rsidR="001931C7" w:rsidRDefault="001931C7">
      <w:pPr>
        <w:rPr>
          <w:rFonts w:ascii="Arial" w:hAnsi="Arial" w:cs="Arial"/>
          <w:bCs/>
          <w:color w:val="000080"/>
          <w:sz w:val="24"/>
        </w:rPr>
      </w:pPr>
    </w:p>
    <w:p w:rsidR="001931C7" w:rsidRDefault="001931C7">
      <w:pPr>
        <w:rPr>
          <w:rFonts w:ascii="Arial" w:hAnsi="Arial" w:cs="Arial"/>
          <w:bCs/>
          <w:color w:val="000080"/>
          <w:sz w:val="24"/>
        </w:rPr>
      </w:pPr>
    </w:p>
    <w:p w:rsidR="00F23FFF" w:rsidRDefault="003552BC" w:rsidP="00AC6E71">
      <w:pPr>
        <w:rPr>
          <w:rFonts w:ascii="Arial" w:hAnsi="Arial" w:cs="Arial"/>
          <w:sz w:val="22"/>
        </w:rPr>
      </w:pPr>
      <w:r>
        <w:rPr>
          <w:rFonts w:ascii="Arial" w:hAnsi="Arial" w:cs="Arial"/>
          <w:sz w:val="22"/>
        </w:rPr>
        <w:lastRenderedPageBreak/>
        <w:t>Capital commitments as at 31 March 201</w:t>
      </w:r>
      <w:r w:rsidR="00697B2F">
        <w:rPr>
          <w:rFonts w:ascii="Arial" w:hAnsi="Arial" w:cs="Arial"/>
          <w:sz w:val="22"/>
        </w:rPr>
        <w:t>4</w:t>
      </w:r>
      <w:r>
        <w:rPr>
          <w:rFonts w:ascii="Arial" w:hAnsi="Arial" w:cs="Arial"/>
          <w:sz w:val="22"/>
        </w:rPr>
        <w:t xml:space="preserve"> were </w:t>
      </w:r>
      <w:r w:rsidR="00A01EBE">
        <w:rPr>
          <w:rFonts w:ascii="Arial" w:hAnsi="Arial" w:cs="Arial"/>
          <w:sz w:val="22"/>
        </w:rPr>
        <w:t>£</w:t>
      </w:r>
      <w:r w:rsidR="00A01EBE" w:rsidRPr="009B681D">
        <w:rPr>
          <w:rFonts w:ascii="Arial" w:hAnsi="Arial" w:cs="Arial"/>
          <w:sz w:val="22"/>
        </w:rPr>
        <w:t>0.</w:t>
      </w:r>
      <w:r w:rsidR="009B681D">
        <w:rPr>
          <w:rFonts w:ascii="Arial" w:hAnsi="Arial" w:cs="Arial"/>
          <w:sz w:val="22"/>
        </w:rPr>
        <w:t>601</w:t>
      </w:r>
      <w:r>
        <w:rPr>
          <w:rFonts w:ascii="Arial" w:hAnsi="Arial" w:cs="Arial"/>
          <w:sz w:val="22"/>
        </w:rPr>
        <w:t xml:space="preserve"> million on Housing and </w:t>
      </w:r>
      <w:r w:rsidR="00A01EBE">
        <w:rPr>
          <w:rFonts w:ascii="Arial" w:hAnsi="Arial" w:cs="Arial"/>
          <w:sz w:val="22"/>
        </w:rPr>
        <w:t>£</w:t>
      </w:r>
      <w:r w:rsidR="009B681D">
        <w:rPr>
          <w:rFonts w:ascii="Arial" w:hAnsi="Arial" w:cs="Arial"/>
          <w:sz w:val="22"/>
        </w:rPr>
        <w:t>0.799</w:t>
      </w:r>
      <w:r>
        <w:rPr>
          <w:rFonts w:ascii="Arial" w:hAnsi="Arial" w:cs="Arial"/>
          <w:color w:val="000000"/>
          <w:sz w:val="22"/>
        </w:rPr>
        <w:t xml:space="preserve"> million</w:t>
      </w:r>
      <w:r>
        <w:rPr>
          <w:rFonts w:ascii="Arial" w:hAnsi="Arial" w:cs="Arial"/>
          <w:sz w:val="22"/>
        </w:rPr>
        <w:t xml:space="preserve"> on General Fund, but these commitments are more than covered by usable housing capital receipts and from earmarked reserves in the General Fund.</w:t>
      </w:r>
    </w:p>
    <w:p w:rsidR="00F23FFF" w:rsidRDefault="00F23FFF">
      <w:pPr>
        <w:rPr>
          <w:rFonts w:ascii="Arial" w:hAnsi="Arial" w:cs="Arial"/>
          <w:bCs/>
          <w:color w:val="000080"/>
          <w:sz w:val="24"/>
        </w:rPr>
      </w:pPr>
    </w:p>
    <w:p w:rsidR="00F23FFF" w:rsidRDefault="00F23FFF">
      <w:pPr>
        <w:rPr>
          <w:rFonts w:ascii="Arial" w:hAnsi="Arial" w:cs="Arial"/>
          <w:bCs/>
          <w:color w:val="000080"/>
          <w:sz w:val="24"/>
        </w:rPr>
      </w:pPr>
    </w:p>
    <w:p w:rsidR="00F23FFF" w:rsidRDefault="00672827">
      <w:pPr>
        <w:pStyle w:val="xl50"/>
        <w:tabs>
          <w:tab w:val="left" w:pos="567"/>
        </w:tabs>
        <w:spacing w:before="0" w:beforeAutospacing="0" w:after="0" w:afterAutospacing="0"/>
        <w:rPr>
          <w:rFonts w:eastAsia="Times New Roman"/>
          <w:bCs w:val="0"/>
          <w:szCs w:val="20"/>
        </w:rPr>
      </w:pPr>
      <w:r>
        <w:rPr>
          <w:rFonts w:eastAsia="Times New Roman"/>
          <w:bCs w:val="0"/>
          <w:szCs w:val="20"/>
        </w:rPr>
        <w:t>30</w:t>
      </w:r>
      <w:r w:rsidR="003552BC">
        <w:rPr>
          <w:rFonts w:eastAsia="Times New Roman"/>
          <w:bCs w:val="0"/>
          <w:szCs w:val="20"/>
        </w:rPr>
        <w:t xml:space="preserve">    Capital Expenditure and Capital Financing</w:t>
      </w:r>
    </w:p>
    <w:p w:rsidR="00F23FFF" w:rsidRDefault="00F23FFF">
      <w:pPr>
        <w:rPr>
          <w:rFonts w:ascii="Arial" w:hAnsi="Arial" w:cs="Arial"/>
          <w:bCs/>
          <w:color w:val="000080"/>
          <w:sz w:val="24"/>
        </w:rPr>
      </w:pPr>
    </w:p>
    <w:p w:rsidR="00F23FFF" w:rsidRDefault="003552BC">
      <w:pPr>
        <w:rPr>
          <w:rFonts w:ascii="Arial" w:hAnsi="Arial" w:cs="Arial"/>
          <w:bCs/>
          <w:sz w:val="22"/>
          <w:szCs w:val="22"/>
        </w:rPr>
      </w:pPr>
      <w:r>
        <w:rPr>
          <w:rFonts w:ascii="Arial" w:hAnsi="Arial" w:cs="Arial"/>
          <w:bCs/>
          <w:sz w:val="22"/>
          <w:szCs w:val="22"/>
        </w:rPr>
        <w:t>The total amount of capital expenditure incurred in the year is shown in the table below together with the resources that have been used to finance it. Where capital expenditure is to be financed in future years by charges to revenue as assets are used by the Council, the expenditure results in an increase in the Capital Financing Requirement (CFR), a measure of the capital expenditure incurred historically by the Council that has yet to be financed.</w:t>
      </w:r>
    </w:p>
    <w:p w:rsidR="00F23FFF" w:rsidRDefault="00F23FFF" w:rsidP="00403DFD">
      <w:pPr>
        <w:ind w:right="-398"/>
        <w:rPr>
          <w:rFonts w:ascii="Arial" w:hAnsi="Arial" w:cs="Arial"/>
          <w:bCs/>
          <w:sz w:val="22"/>
          <w:szCs w:val="22"/>
        </w:rPr>
      </w:pPr>
    </w:p>
    <w:p w:rsidR="00F23FFF" w:rsidRDefault="003552BC">
      <w:pPr>
        <w:ind w:firstLine="567"/>
        <w:rPr>
          <w:rFonts w:ascii="Arial" w:hAnsi="Arial" w:cs="Arial"/>
          <w:sz w:val="22"/>
        </w:rPr>
      </w:pPr>
      <w:r>
        <w:rPr>
          <w:rFonts w:ascii="Arial" w:hAnsi="Arial" w:cs="Arial"/>
          <w:sz w:val="22"/>
        </w:rPr>
        <w:t>Capital expenditure was financed as follows:</w:t>
      </w:r>
    </w:p>
    <w:p w:rsidR="00F23FFF" w:rsidRDefault="00F23FFF">
      <w:pPr>
        <w:ind w:firstLine="567"/>
        <w:rPr>
          <w:rFonts w:ascii="Arial" w:hAnsi="Arial" w:cs="Arial"/>
          <w:sz w:val="22"/>
        </w:rPr>
      </w:pPr>
    </w:p>
    <w:p w:rsidR="00F23FFF" w:rsidRDefault="00B11B20" w:rsidP="00F1645D">
      <w:pPr>
        <w:ind w:hanging="567"/>
        <w:jc w:val="center"/>
        <w:rPr>
          <w:rFonts w:ascii="Arial" w:hAnsi="Arial" w:cs="Arial"/>
          <w:sz w:val="22"/>
        </w:rPr>
      </w:pPr>
      <w:r w:rsidRPr="00B11B20">
        <w:rPr>
          <w:noProof/>
          <w:lang w:eastAsia="en-GB"/>
        </w:rPr>
        <w:drawing>
          <wp:inline distT="0" distB="0" distL="0" distR="0" wp14:anchorId="06B1B584" wp14:editId="6A8D336F">
            <wp:extent cx="5524500" cy="4944769"/>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8646" cy="4948480"/>
                    </a:xfrm>
                    <a:prstGeom prst="rect">
                      <a:avLst/>
                    </a:prstGeom>
                    <a:noFill/>
                    <a:ln>
                      <a:noFill/>
                    </a:ln>
                  </pic:spPr>
                </pic:pic>
              </a:graphicData>
            </a:graphic>
          </wp:inline>
        </w:drawing>
      </w:r>
    </w:p>
    <w:p w:rsidR="00F23FFF" w:rsidRDefault="00F23FFF">
      <w:pPr>
        <w:rPr>
          <w:rFonts w:ascii="Arial" w:hAnsi="Arial" w:cs="Arial"/>
          <w:bCs/>
          <w:color w:val="000080"/>
          <w:sz w:val="24"/>
        </w:rPr>
      </w:pPr>
    </w:p>
    <w:p w:rsidR="005E3E89" w:rsidRDefault="005E3E89">
      <w:pPr>
        <w:rPr>
          <w:rFonts w:ascii="Arial" w:hAnsi="Arial" w:cs="Arial"/>
          <w:bCs/>
          <w:color w:val="000080"/>
          <w:sz w:val="24"/>
        </w:rPr>
      </w:pPr>
    </w:p>
    <w:p w:rsidR="005E3E89" w:rsidRDefault="005E3E89">
      <w:pPr>
        <w:rPr>
          <w:rFonts w:ascii="Arial" w:hAnsi="Arial" w:cs="Arial"/>
          <w:bCs/>
          <w:color w:val="000080"/>
          <w:sz w:val="24"/>
        </w:rPr>
      </w:pPr>
    </w:p>
    <w:p w:rsidR="001320F0" w:rsidRDefault="001320F0" w:rsidP="001320F0">
      <w:pPr>
        <w:rPr>
          <w:rFonts w:ascii="Arial" w:hAnsi="Arial" w:cs="Arial"/>
          <w:sz w:val="22"/>
        </w:rPr>
      </w:pPr>
      <w:r>
        <w:rPr>
          <w:rFonts w:ascii="Arial" w:hAnsi="Arial" w:cs="Arial"/>
          <w:sz w:val="22"/>
        </w:rPr>
        <w:t>Legislation allows some items to be funded from capital resources that under normal accounting practice would be charged to surplus or deficit on the provision of Services; expenditure for this purpose is shown below.</w:t>
      </w:r>
    </w:p>
    <w:p w:rsidR="005E3E89" w:rsidRDefault="005E3E89">
      <w:pPr>
        <w:rPr>
          <w:rFonts w:ascii="Arial" w:hAnsi="Arial" w:cs="Arial"/>
          <w:bCs/>
          <w:color w:val="000080"/>
          <w:sz w:val="24"/>
        </w:rPr>
      </w:pPr>
    </w:p>
    <w:p w:rsidR="00F23FFF" w:rsidRDefault="00F23FFF">
      <w:pPr>
        <w:rPr>
          <w:rFonts w:ascii="Arial" w:hAnsi="Arial" w:cs="Arial"/>
          <w:bCs/>
          <w:color w:val="000080"/>
          <w:sz w:val="24"/>
        </w:rPr>
      </w:pPr>
    </w:p>
    <w:p w:rsidR="005706AE" w:rsidRDefault="005706AE">
      <w:pPr>
        <w:rPr>
          <w:rFonts w:ascii="Arial" w:hAnsi="Arial" w:cs="Arial"/>
          <w:sz w:val="22"/>
        </w:rPr>
      </w:pPr>
    </w:p>
    <w:tbl>
      <w:tblPr>
        <w:tblW w:w="8220" w:type="dxa"/>
        <w:tblInd w:w="93" w:type="dxa"/>
        <w:tblLook w:val="04A0" w:firstRow="1" w:lastRow="0" w:firstColumn="1" w:lastColumn="0" w:noHBand="0" w:noVBand="1"/>
      </w:tblPr>
      <w:tblGrid>
        <w:gridCol w:w="300"/>
        <w:gridCol w:w="3220"/>
        <w:gridCol w:w="480"/>
        <w:gridCol w:w="1560"/>
        <w:gridCol w:w="780"/>
        <w:gridCol w:w="1540"/>
        <w:gridCol w:w="340"/>
      </w:tblGrid>
      <w:tr w:rsidR="00096A4D" w:rsidRPr="00096A4D" w:rsidTr="00096A4D">
        <w:trPr>
          <w:trHeight w:val="225"/>
        </w:trPr>
        <w:tc>
          <w:tcPr>
            <w:tcW w:w="300" w:type="dxa"/>
            <w:tcBorders>
              <w:top w:val="single" w:sz="4" w:space="0" w:color="auto"/>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single" w:sz="4" w:space="0" w:color="auto"/>
              <w:left w:val="nil"/>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480" w:type="dxa"/>
            <w:tcBorders>
              <w:top w:val="single" w:sz="4" w:space="0" w:color="auto"/>
              <w:left w:val="nil"/>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1560" w:type="dxa"/>
            <w:tcBorders>
              <w:top w:val="single" w:sz="4" w:space="0" w:color="auto"/>
              <w:left w:val="nil"/>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780" w:type="dxa"/>
            <w:tcBorders>
              <w:top w:val="single" w:sz="4" w:space="0" w:color="auto"/>
              <w:left w:val="nil"/>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1540" w:type="dxa"/>
            <w:tcBorders>
              <w:top w:val="single" w:sz="4" w:space="0" w:color="auto"/>
              <w:left w:val="nil"/>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40" w:type="dxa"/>
            <w:tcBorders>
              <w:top w:val="single" w:sz="4" w:space="0" w:color="auto"/>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300"/>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jc w:val="center"/>
              <w:rPr>
                <w:rFonts w:ascii="Arial" w:hAnsi="Arial" w:cs="Arial"/>
                <w:b/>
                <w:bCs/>
                <w:color w:val="000000"/>
                <w:sz w:val="22"/>
                <w:szCs w:val="22"/>
                <w:lang w:eastAsia="en-GB"/>
              </w:rPr>
            </w:pPr>
            <w:r w:rsidRPr="00096A4D">
              <w:rPr>
                <w:rFonts w:ascii="Arial" w:hAnsi="Arial" w:cs="Arial"/>
                <w:b/>
                <w:bCs/>
                <w:color w:val="000000"/>
                <w:sz w:val="22"/>
                <w:szCs w:val="22"/>
                <w:lang w:eastAsia="en-GB"/>
              </w:rPr>
              <w:t>2013-14</w:t>
            </w:r>
          </w:p>
        </w:tc>
        <w:tc>
          <w:tcPr>
            <w:tcW w:w="780" w:type="dxa"/>
            <w:tcBorders>
              <w:top w:val="nil"/>
              <w:left w:val="nil"/>
              <w:bottom w:val="nil"/>
              <w:right w:val="nil"/>
            </w:tcBorders>
            <w:shd w:val="clear" w:color="auto" w:fill="auto"/>
            <w:noWrap/>
            <w:vAlign w:val="bottom"/>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jc w:val="center"/>
              <w:rPr>
                <w:rFonts w:ascii="Arial" w:hAnsi="Arial" w:cs="Arial"/>
                <w:b/>
                <w:bCs/>
                <w:color w:val="000000"/>
                <w:sz w:val="22"/>
                <w:szCs w:val="22"/>
                <w:lang w:eastAsia="en-GB"/>
              </w:rPr>
            </w:pPr>
            <w:r w:rsidRPr="00096A4D">
              <w:rPr>
                <w:rFonts w:ascii="Arial" w:hAnsi="Arial" w:cs="Arial"/>
                <w:b/>
                <w:bCs/>
                <w:color w:val="000000"/>
                <w:sz w:val="22"/>
                <w:szCs w:val="22"/>
                <w:lang w:eastAsia="en-GB"/>
              </w:rPr>
              <w:t>2012-13</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31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single" w:sz="8" w:space="0" w:color="auto"/>
              <w:right w:val="nil"/>
            </w:tcBorders>
            <w:shd w:val="clear" w:color="auto" w:fill="auto"/>
            <w:noWrap/>
            <w:vAlign w:val="center"/>
            <w:hideMark/>
          </w:tcPr>
          <w:p w:rsidR="00096A4D" w:rsidRPr="00096A4D" w:rsidRDefault="00096A4D" w:rsidP="00096A4D">
            <w:pPr>
              <w:rPr>
                <w:color w:val="000000"/>
                <w:sz w:val="22"/>
                <w:szCs w:val="22"/>
                <w:lang w:eastAsia="en-GB"/>
              </w:rPr>
            </w:pPr>
            <w:r w:rsidRPr="00096A4D">
              <w:rPr>
                <w:color w:val="000000"/>
                <w:sz w:val="22"/>
                <w:szCs w:val="22"/>
                <w:lang w:eastAsia="en-GB"/>
              </w:rPr>
              <w:t> </w:t>
            </w:r>
          </w:p>
        </w:tc>
        <w:tc>
          <w:tcPr>
            <w:tcW w:w="480" w:type="dxa"/>
            <w:tcBorders>
              <w:top w:val="nil"/>
              <w:left w:val="nil"/>
              <w:bottom w:val="single" w:sz="8" w:space="0" w:color="auto"/>
              <w:right w:val="nil"/>
            </w:tcBorders>
            <w:shd w:val="clear" w:color="auto" w:fill="auto"/>
            <w:noWrap/>
            <w:vAlign w:val="center"/>
            <w:hideMark/>
          </w:tcPr>
          <w:p w:rsidR="00096A4D" w:rsidRPr="00096A4D" w:rsidRDefault="00096A4D" w:rsidP="00096A4D">
            <w:pPr>
              <w:rPr>
                <w:color w:val="000000"/>
                <w:sz w:val="22"/>
                <w:szCs w:val="22"/>
                <w:lang w:eastAsia="en-GB"/>
              </w:rPr>
            </w:pPr>
            <w:r w:rsidRPr="00096A4D">
              <w:rPr>
                <w:color w:val="000000"/>
                <w:sz w:val="22"/>
                <w:szCs w:val="22"/>
                <w:lang w:eastAsia="en-GB"/>
              </w:rPr>
              <w:t> </w:t>
            </w:r>
          </w:p>
        </w:tc>
        <w:tc>
          <w:tcPr>
            <w:tcW w:w="1560" w:type="dxa"/>
            <w:tcBorders>
              <w:top w:val="nil"/>
              <w:left w:val="nil"/>
              <w:bottom w:val="single" w:sz="8" w:space="0" w:color="auto"/>
              <w:right w:val="nil"/>
            </w:tcBorders>
            <w:shd w:val="clear" w:color="auto" w:fill="auto"/>
            <w:noWrap/>
            <w:vAlign w:val="center"/>
            <w:hideMark/>
          </w:tcPr>
          <w:p w:rsidR="00096A4D" w:rsidRPr="00096A4D" w:rsidRDefault="00096A4D" w:rsidP="00096A4D">
            <w:pPr>
              <w:jc w:val="center"/>
              <w:rPr>
                <w:rFonts w:ascii="Arial" w:hAnsi="Arial" w:cs="Arial"/>
                <w:b/>
                <w:bCs/>
                <w:color w:val="000000"/>
                <w:sz w:val="22"/>
                <w:szCs w:val="22"/>
                <w:lang w:eastAsia="en-GB"/>
              </w:rPr>
            </w:pPr>
            <w:r w:rsidRPr="00096A4D">
              <w:rPr>
                <w:rFonts w:ascii="Arial" w:hAnsi="Arial" w:cs="Arial"/>
                <w:b/>
                <w:bCs/>
                <w:color w:val="000000"/>
                <w:sz w:val="22"/>
                <w:szCs w:val="22"/>
                <w:lang w:eastAsia="en-GB"/>
              </w:rPr>
              <w:t>£</w:t>
            </w:r>
          </w:p>
        </w:tc>
        <w:tc>
          <w:tcPr>
            <w:tcW w:w="780" w:type="dxa"/>
            <w:tcBorders>
              <w:top w:val="nil"/>
              <w:left w:val="nil"/>
              <w:bottom w:val="single" w:sz="8" w:space="0" w:color="auto"/>
              <w:right w:val="nil"/>
            </w:tcBorders>
            <w:shd w:val="clear" w:color="auto" w:fill="auto"/>
            <w:noWrap/>
            <w:vAlign w:val="center"/>
            <w:hideMark/>
          </w:tcPr>
          <w:p w:rsidR="00096A4D" w:rsidRPr="00096A4D" w:rsidRDefault="00096A4D" w:rsidP="00096A4D">
            <w:pPr>
              <w:jc w:val="center"/>
              <w:rPr>
                <w:color w:val="000000"/>
                <w:sz w:val="22"/>
                <w:szCs w:val="22"/>
                <w:lang w:eastAsia="en-GB"/>
              </w:rPr>
            </w:pPr>
            <w:r w:rsidRPr="00096A4D">
              <w:rPr>
                <w:color w:val="000000"/>
                <w:sz w:val="22"/>
                <w:szCs w:val="22"/>
                <w:lang w:eastAsia="en-GB"/>
              </w:rPr>
              <w:t> </w:t>
            </w:r>
          </w:p>
        </w:tc>
        <w:tc>
          <w:tcPr>
            <w:tcW w:w="1540" w:type="dxa"/>
            <w:tcBorders>
              <w:top w:val="nil"/>
              <w:left w:val="nil"/>
              <w:bottom w:val="single" w:sz="8" w:space="0" w:color="auto"/>
              <w:right w:val="nil"/>
            </w:tcBorders>
            <w:shd w:val="clear" w:color="auto" w:fill="auto"/>
            <w:noWrap/>
            <w:vAlign w:val="center"/>
            <w:hideMark/>
          </w:tcPr>
          <w:p w:rsidR="00096A4D" w:rsidRPr="00096A4D" w:rsidRDefault="00096A4D" w:rsidP="00096A4D">
            <w:pPr>
              <w:jc w:val="center"/>
              <w:rPr>
                <w:rFonts w:ascii="Arial" w:hAnsi="Arial" w:cs="Arial"/>
                <w:b/>
                <w:bCs/>
                <w:color w:val="000000"/>
                <w:sz w:val="22"/>
                <w:szCs w:val="22"/>
                <w:lang w:eastAsia="en-GB"/>
              </w:rPr>
            </w:pPr>
            <w:r w:rsidRPr="00096A4D">
              <w:rPr>
                <w:rFonts w:ascii="Arial" w:hAnsi="Arial" w:cs="Arial"/>
                <w:b/>
                <w:bCs/>
                <w:color w:val="000000"/>
                <w:sz w:val="22"/>
                <w:szCs w:val="22"/>
                <w:lang w:eastAsia="en-GB"/>
              </w:rPr>
              <w:t>£</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780" w:type="dxa"/>
            <w:tcBorders>
              <w:top w:val="nil"/>
              <w:left w:val="nil"/>
              <w:bottom w:val="nil"/>
              <w:right w:val="nil"/>
            </w:tcBorders>
            <w:shd w:val="clear" w:color="auto" w:fill="auto"/>
            <w:noWrap/>
            <w:vAlign w:val="bottom"/>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300"/>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rFonts w:ascii="Arial" w:hAnsi="Arial" w:cs="Arial"/>
                <w:b/>
                <w:bCs/>
                <w:color w:val="000000"/>
                <w:sz w:val="22"/>
                <w:szCs w:val="22"/>
                <w:lang w:eastAsia="en-GB"/>
              </w:rPr>
            </w:pPr>
            <w:r w:rsidRPr="00096A4D">
              <w:rPr>
                <w:rFonts w:ascii="Arial" w:hAnsi="Arial" w:cs="Arial"/>
                <w:b/>
                <w:bCs/>
                <w:color w:val="000000"/>
                <w:sz w:val="22"/>
                <w:szCs w:val="22"/>
                <w:lang w:eastAsia="en-GB"/>
              </w:rPr>
              <w:t>Balance as at 1 April</w:t>
            </w: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b/>
                <w:bCs/>
                <w:color w:val="000000"/>
                <w:sz w:val="22"/>
                <w:szCs w:val="22"/>
                <w:lang w:eastAsia="en-GB"/>
              </w:rPr>
            </w:pPr>
            <w:r w:rsidRPr="00096A4D">
              <w:rPr>
                <w:rFonts w:ascii="Arial" w:hAnsi="Arial" w:cs="Arial"/>
                <w:b/>
                <w:bCs/>
                <w:color w:val="000000"/>
                <w:sz w:val="22"/>
                <w:szCs w:val="22"/>
                <w:lang w:eastAsia="en-GB"/>
              </w:rPr>
              <w:t>0</w:t>
            </w: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b/>
                <w:bCs/>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b/>
                <w:bCs/>
                <w:color w:val="000000"/>
                <w:sz w:val="22"/>
                <w:szCs w:val="22"/>
                <w:lang w:eastAsia="en-GB"/>
              </w:rPr>
            </w:pPr>
            <w:r w:rsidRPr="00096A4D">
              <w:rPr>
                <w:rFonts w:ascii="Arial" w:hAnsi="Arial" w:cs="Arial"/>
                <w:b/>
                <w:bCs/>
                <w:color w:val="000000"/>
                <w:sz w:val="22"/>
                <w:szCs w:val="22"/>
                <w:lang w:eastAsia="en-GB"/>
              </w:rPr>
              <w:t>0</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Improvement Grants</w:t>
            </w: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color w:val="000000"/>
                <w:sz w:val="22"/>
                <w:szCs w:val="22"/>
                <w:lang w:eastAsia="en-GB"/>
              </w:rPr>
            </w:pPr>
            <w:r w:rsidRPr="00096A4D">
              <w:rPr>
                <w:rFonts w:ascii="Arial" w:hAnsi="Arial" w:cs="Arial"/>
                <w:color w:val="000000"/>
                <w:sz w:val="22"/>
                <w:szCs w:val="22"/>
                <w:lang w:eastAsia="en-GB"/>
              </w:rPr>
              <w:t>774,914</w:t>
            </w: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color w:val="000000"/>
                <w:sz w:val="22"/>
                <w:szCs w:val="22"/>
                <w:lang w:eastAsia="en-GB"/>
              </w:rPr>
            </w:pPr>
            <w:r w:rsidRPr="00096A4D">
              <w:rPr>
                <w:rFonts w:ascii="Arial" w:hAnsi="Arial" w:cs="Arial"/>
                <w:color w:val="000000"/>
                <w:sz w:val="22"/>
                <w:szCs w:val="22"/>
                <w:lang w:eastAsia="en-GB"/>
              </w:rPr>
              <w:t>618,679</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Other</w:t>
            </w: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color w:val="000000"/>
                <w:sz w:val="22"/>
                <w:szCs w:val="22"/>
                <w:lang w:eastAsia="en-GB"/>
              </w:rPr>
            </w:pPr>
            <w:r w:rsidRPr="00096A4D">
              <w:rPr>
                <w:rFonts w:ascii="Arial" w:hAnsi="Arial" w:cs="Arial"/>
                <w:color w:val="000000"/>
                <w:sz w:val="22"/>
                <w:szCs w:val="22"/>
                <w:lang w:eastAsia="en-GB"/>
              </w:rPr>
              <w:t>529,519</w:t>
            </w: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color w:val="000000"/>
                <w:sz w:val="22"/>
                <w:szCs w:val="22"/>
                <w:lang w:eastAsia="en-GB"/>
              </w:rPr>
            </w:pPr>
            <w:r w:rsidRPr="00096A4D">
              <w:rPr>
                <w:rFonts w:ascii="Arial" w:hAnsi="Arial" w:cs="Arial"/>
                <w:color w:val="000000"/>
                <w:sz w:val="22"/>
                <w:szCs w:val="22"/>
                <w:lang w:eastAsia="en-GB"/>
              </w:rPr>
              <w:t>465,709</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Written out</w:t>
            </w: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color w:val="000000"/>
                <w:sz w:val="22"/>
                <w:szCs w:val="22"/>
                <w:lang w:eastAsia="en-GB"/>
              </w:rPr>
            </w:pPr>
            <w:r w:rsidRPr="00096A4D">
              <w:rPr>
                <w:rFonts w:ascii="Arial" w:hAnsi="Arial" w:cs="Arial"/>
                <w:color w:val="000000"/>
                <w:sz w:val="22"/>
                <w:szCs w:val="22"/>
                <w:lang w:eastAsia="en-GB"/>
              </w:rPr>
              <w:t>(1,304,433)</w:t>
            </w: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jc w:val="right"/>
              <w:rPr>
                <w:rFonts w:ascii="Arial" w:hAnsi="Arial" w:cs="Arial"/>
                <w:color w:val="000000"/>
                <w:sz w:val="22"/>
                <w:szCs w:val="22"/>
                <w:lang w:eastAsia="en-GB"/>
              </w:rPr>
            </w:pPr>
            <w:r w:rsidRPr="00096A4D">
              <w:rPr>
                <w:rFonts w:ascii="Arial" w:hAnsi="Arial" w:cs="Arial"/>
                <w:color w:val="000000"/>
                <w:sz w:val="22"/>
                <w:szCs w:val="22"/>
                <w:lang w:eastAsia="en-GB"/>
              </w:rPr>
              <w:t>(1,084,388)</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300"/>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4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6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78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1540" w:type="dxa"/>
            <w:tcBorders>
              <w:top w:val="nil"/>
              <w:left w:val="nil"/>
              <w:bottom w:val="nil"/>
              <w:right w:val="nil"/>
            </w:tcBorders>
            <w:shd w:val="clear" w:color="auto" w:fill="auto"/>
            <w:noWrap/>
            <w:vAlign w:val="center"/>
            <w:hideMark/>
          </w:tcPr>
          <w:p w:rsidR="00096A4D" w:rsidRPr="00096A4D" w:rsidRDefault="00096A4D" w:rsidP="00096A4D">
            <w:pPr>
              <w:rPr>
                <w:color w:val="000000"/>
                <w:lang w:eastAsia="en-GB"/>
              </w:rPr>
            </w:pP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315"/>
        </w:trPr>
        <w:tc>
          <w:tcPr>
            <w:tcW w:w="300" w:type="dxa"/>
            <w:tcBorders>
              <w:top w:val="nil"/>
              <w:left w:val="single" w:sz="4" w:space="0" w:color="auto"/>
              <w:bottom w:val="nil"/>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single" w:sz="8" w:space="0" w:color="auto"/>
              <w:left w:val="nil"/>
              <w:bottom w:val="single" w:sz="8" w:space="0" w:color="auto"/>
              <w:right w:val="nil"/>
            </w:tcBorders>
            <w:shd w:val="clear" w:color="auto" w:fill="auto"/>
            <w:noWrap/>
            <w:vAlign w:val="center"/>
            <w:hideMark/>
          </w:tcPr>
          <w:p w:rsidR="00096A4D" w:rsidRPr="00096A4D" w:rsidRDefault="00096A4D" w:rsidP="00096A4D">
            <w:pPr>
              <w:rPr>
                <w:rFonts w:ascii="Arial" w:hAnsi="Arial" w:cs="Arial"/>
                <w:b/>
                <w:bCs/>
                <w:color w:val="000000"/>
                <w:sz w:val="22"/>
                <w:szCs w:val="22"/>
                <w:lang w:eastAsia="en-GB"/>
              </w:rPr>
            </w:pPr>
            <w:r w:rsidRPr="00096A4D">
              <w:rPr>
                <w:rFonts w:ascii="Arial" w:hAnsi="Arial" w:cs="Arial"/>
                <w:b/>
                <w:bCs/>
                <w:color w:val="000000"/>
                <w:sz w:val="22"/>
                <w:szCs w:val="22"/>
                <w:lang w:eastAsia="en-GB"/>
              </w:rPr>
              <w:t xml:space="preserve">Balance as at 31 March </w:t>
            </w:r>
          </w:p>
        </w:tc>
        <w:tc>
          <w:tcPr>
            <w:tcW w:w="480" w:type="dxa"/>
            <w:tcBorders>
              <w:top w:val="single" w:sz="8" w:space="0" w:color="auto"/>
              <w:left w:val="nil"/>
              <w:bottom w:val="single" w:sz="8" w:space="0" w:color="auto"/>
              <w:right w:val="nil"/>
            </w:tcBorders>
            <w:shd w:val="clear" w:color="auto" w:fill="auto"/>
            <w:noWrap/>
            <w:vAlign w:val="center"/>
            <w:hideMark/>
          </w:tcPr>
          <w:p w:rsidR="00096A4D" w:rsidRPr="00096A4D" w:rsidRDefault="00096A4D" w:rsidP="00096A4D">
            <w:pPr>
              <w:rPr>
                <w:rFonts w:ascii="Arial" w:hAnsi="Arial" w:cs="Arial"/>
                <w:b/>
                <w:bCs/>
                <w:color w:val="000000"/>
                <w:sz w:val="22"/>
                <w:szCs w:val="22"/>
                <w:lang w:eastAsia="en-GB"/>
              </w:rPr>
            </w:pPr>
            <w:r w:rsidRPr="00096A4D">
              <w:rPr>
                <w:rFonts w:ascii="Arial" w:hAnsi="Arial" w:cs="Arial"/>
                <w:b/>
                <w:bCs/>
                <w:color w:val="000000"/>
                <w:sz w:val="22"/>
                <w:szCs w:val="22"/>
                <w:lang w:eastAsia="en-GB"/>
              </w:rPr>
              <w:t> </w:t>
            </w:r>
          </w:p>
        </w:tc>
        <w:tc>
          <w:tcPr>
            <w:tcW w:w="1560" w:type="dxa"/>
            <w:tcBorders>
              <w:top w:val="single" w:sz="8" w:space="0" w:color="auto"/>
              <w:left w:val="nil"/>
              <w:bottom w:val="single" w:sz="8" w:space="0" w:color="auto"/>
              <w:right w:val="nil"/>
            </w:tcBorders>
            <w:shd w:val="clear" w:color="auto" w:fill="auto"/>
            <w:noWrap/>
            <w:vAlign w:val="center"/>
            <w:hideMark/>
          </w:tcPr>
          <w:p w:rsidR="00096A4D" w:rsidRPr="00096A4D" w:rsidRDefault="00096A4D" w:rsidP="00096A4D">
            <w:pPr>
              <w:jc w:val="right"/>
              <w:rPr>
                <w:rFonts w:ascii="Arial" w:hAnsi="Arial" w:cs="Arial"/>
                <w:b/>
                <w:bCs/>
                <w:color w:val="000000"/>
                <w:sz w:val="22"/>
                <w:szCs w:val="22"/>
                <w:lang w:eastAsia="en-GB"/>
              </w:rPr>
            </w:pPr>
            <w:r w:rsidRPr="00096A4D">
              <w:rPr>
                <w:rFonts w:ascii="Arial" w:hAnsi="Arial" w:cs="Arial"/>
                <w:b/>
                <w:bCs/>
                <w:color w:val="000000"/>
                <w:sz w:val="22"/>
                <w:szCs w:val="22"/>
                <w:lang w:eastAsia="en-GB"/>
              </w:rPr>
              <w:t>0</w:t>
            </w:r>
          </w:p>
        </w:tc>
        <w:tc>
          <w:tcPr>
            <w:tcW w:w="780" w:type="dxa"/>
            <w:tcBorders>
              <w:top w:val="single" w:sz="8" w:space="0" w:color="auto"/>
              <w:left w:val="nil"/>
              <w:bottom w:val="single" w:sz="8" w:space="0" w:color="auto"/>
              <w:right w:val="nil"/>
            </w:tcBorders>
            <w:shd w:val="clear" w:color="auto" w:fill="auto"/>
            <w:noWrap/>
            <w:vAlign w:val="center"/>
            <w:hideMark/>
          </w:tcPr>
          <w:p w:rsidR="00096A4D" w:rsidRPr="00096A4D" w:rsidRDefault="00096A4D" w:rsidP="00096A4D">
            <w:pPr>
              <w:rPr>
                <w:rFonts w:ascii="Arial" w:hAnsi="Arial" w:cs="Arial"/>
                <w:b/>
                <w:bCs/>
                <w:color w:val="000000"/>
                <w:sz w:val="22"/>
                <w:szCs w:val="22"/>
                <w:lang w:eastAsia="en-GB"/>
              </w:rPr>
            </w:pPr>
            <w:r w:rsidRPr="00096A4D">
              <w:rPr>
                <w:rFonts w:ascii="Arial" w:hAnsi="Arial" w:cs="Arial"/>
                <w:b/>
                <w:bCs/>
                <w:color w:val="000000"/>
                <w:sz w:val="22"/>
                <w:szCs w:val="22"/>
                <w:lang w:eastAsia="en-GB"/>
              </w:rPr>
              <w:t> </w:t>
            </w:r>
          </w:p>
        </w:tc>
        <w:tc>
          <w:tcPr>
            <w:tcW w:w="1540" w:type="dxa"/>
            <w:tcBorders>
              <w:top w:val="single" w:sz="8" w:space="0" w:color="auto"/>
              <w:left w:val="nil"/>
              <w:bottom w:val="single" w:sz="8" w:space="0" w:color="auto"/>
              <w:right w:val="nil"/>
            </w:tcBorders>
            <w:shd w:val="clear" w:color="auto" w:fill="auto"/>
            <w:noWrap/>
            <w:vAlign w:val="center"/>
            <w:hideMark/>
          </w:tcPr>
          <w:p w:rsidR="00096A4D" w:rsidRPr="00096A4D" w:rsidRDefault="00096A4D" w:rsidP="00096A4D">
            <w:pPr>
              <w:jc w:val="right"/>
              <w:rPr>
                <w:rFonts w:ascii="Arial" w:hAnsi="Arial" w:cs="Arial"/>
                <w:b/>
                <w:bCs/>
                <w:color w:val="000000"/>
                <w:sz w:val="22"/>
                <w:szCs w:val="22"/>
                <w:lang w:eastAsia="en-GB"/>
              </w:rPr>
            </w:pPr>
            <w:r w:rsidRPr="00096A4D">
              <w:rPr>
                <w:rFonts w:ascii="Arial" w:hAnsi="Arial" w:cs="Arial"/>
                <w:b/>
                <w:bCs/>
                <w:color w:val="000000"/>
                <w:sz w:val="22"/>
                <w:szCs w:val="22"/>
                <w:lang w:eastAsia="en-GB"/>
              </w:rPr>
              <w:t>0</w:t>
            </w:r>
          </w:p>
        </w:tc>
        <w:tc>
          <w:tcPr>
            <w:tcW w:w="340" w:type="dxa"/>
            <w:tcBorders>
              <w:top w:val="nil"/>
              <w:left w:val="nil"/>
              <w:bottom w:val="nil"/>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r w:rsidR="00096A4D" w:rsidRPr="00096A4D" w:rsidTr="00096A4D">
        <w:trPr>
          <w:trHeight w:val="285"/>
        </w:trPr>
        <w:tc>
          <w:tcPr>
            <w:tcW w:w="300" w:type="dxa"/>
            <w:tcBorders>
              <w:top w:val="nil"/>
              <w:left w:val="single" w:sz="4" w:space="0" w:color="auto"/>
              <w:bottom w:val="single" w:sz="4" w:space="0" w:color="auto"/>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220" w:type="dxa"/>
            <w:tcBorders>
              <w:top w:val="nil"/>
              <w:left w:val="nil"/>
              <w:bottom w:val="single" w:sz="4" w:space="0" w:color="auto"/>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480" w:type="dxa"/>
            <w:tcBorders>
              <w:top w:val="nil"/>
              <w:left w:val="nil"/>
              <w:bottom w:val="single" w:sz="4" w:space="0" w:color="auto"/>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1560" w:type="dxa"/>
            <w:tcBorders>
              <w:top w:val="nil"/>
              <w:left w:val="nil"/>
              <w:bottom w:val="single" w:sz="4" w:space="0" w:color="auto"/>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780" w:type="dxa"/>
            <w:tcBorders>
              <w:top w:val="nil"/>
              <w:left w:val="nil"/>
              <w:bottom w:val="single" w:sz="4" w:space="0" w:color="auto"/>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1540" w:type="dxa"/>
            <w:tcBorders>
              <w:top w:val="nil"/>
              <w:left w:val="nil"/>
              <w:bottom w:val="single" w:sz="4" w:space="0" w:color="auto"/>
              <w:right w:val="nil"/>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c>
          <w:tcPr>
            <w:tcW w:w="340" w:type="dxa"/>
            <w:tcBorders>
              <w:top w:val="nil"/>
              <w:left w:val="nil"/>
              <w:bottom w:val="single" w:sz="4" w:space="0" w:color="auto"/>
              <w:right w:val="single" w:sz="4" w:space="0" w:color="auto"/>
            </w:tcBorders>
            <w:shd w:val="clear" w:color="auto" w:fill="auto"/>
            <w:noWrap/>
            <w:vAlign w:val="bottom"/>
            <w:hideMark/>
          </w:tcPr>
          <w:p w:rsidR="00096A4D" w:rsidRPr="00096A4D" w:rsidRDefault="00096A4D" w:rsidP="00096A4D">
            <w:pPr>
              <w:rPr>
                <w:rFonts w:ascii="Arial" w:hAnsi="Arial" w:cs="Arial"/>
                <w:color w:val="000000"/>
                <w:sz w:val="22"/>
                <w:szCs w:val="22"/>
                <w:lang w:eastAsia="en-GB"/>
              </w:rPr>
            </w:pPr>
            <w:r w:rsidRPr="00096A4D">
              <w:rPr>
                <w:rFonts w:ascii="Arial" w:hAnsi="Arial" w:cs="Arial"/>
                <w:color w:val="000000"/>
                <w:sz w:val="22"/>
                <w:szCs w:val="22"/>
                <w:lang w:eastAsia="en-GB"/>
              </w:rPr>
              <w:t> </w:t>
            </w:r>
          </w:p>
        </w:tc>
      </w:tr>
    </w:tbl>
    <w:p w:rsidR="00765D5E" w:rsidRDefault="00765D5E">
      <w:pPr>
        <w:rPr>
          <w:rFonts w:ascii="Arial" w:hAnsi="Arial" w:cs="Arial"/>
          <w:sz w:val="22"/>
        </w:rPr>
      </w:pPr>
    </w:p>
    <w:p w:rsidR="00765D5E" w:rsidRDefault="00765D5E">
      <w:pPr>
        <w:rPr>
          <w:rFonts w:ascii="Arial" w:hAnsi="Arial" w:cs="Arial"/>
          <w:sz w:val="22"/>
        </w:rPr>
      </w:pPr>
    </w:p>
    <w:p w:rsidR="00F23FFF" w:rsidRDefault="00F23FFF">
      <w:pPr>
        <w:rPr>
          <w:rFonts w:ascii="Arial" w:hAnsi="Arial" w:cs="Arial"/>
          <w:bCs/>
          <w:color w:val="000080"/>
          <w:sz w:val="24"/>
        </w:rPr>
      </w:pPr>
    </w:p>
    <w:p w:rsidR="00F23FFF" w:rsidRDefault="00F23FFF">
      <w:pPr>
        <w:rPr>
          <w:rFonts w:ascii="Arial" w:hAnsi="Arial" w:cs="Arial"/>
          <w:bCs/>
          <w:color w:val="000080"/>
          <w:sz w:val="24"/>
        </w:rPr>
      </w:pPr>
    </w:p>
    <w:p w:rsidR="00F23FFF" w:rsidRDefault="00F23FFF">
      <w:pPr>
        <w:rPr>
          <w:rFonts w:ascii="Arial" w:hAnsi="Arial" w:cs="Arial"/>
          <w:bCs/>
          <w:color w:val="000080"/>
          <w:sz w:val="24"/>
        </w:rPr>
      </w:pPr>
    </w:p>
    <w:p w:rsidR="00F23FFF" w:rsidRDefault="00F23FFF">
      <w:pPr>
        <w:rPr>
          <w:rFonts w:ascii="Arial" w:hAnsi="Arial" w:cs="Arial"/>
          <w:bCs/>
          <w:color w:val="000080"/>
          <w:sz w:val="24"/>
        </w:rPr>
      </w:pPr>
    </w:p>
    <w:p w:rsidR="005706AE" w:rsidRDefault="005706AE">
      <w:pPr>
        <w:pStyle w:val="xl50"/>
        <w:tabs>
          <w:tab w:val="left" w:pos="567"/>
        </w:tabs>
        <w:spacing w:before="0" w:beforeAutospacing="0" w:after="0" w:afterAutospacing="0"/>
        <w:rPr>
          <w:rFonts w:eastAsia="Times New Roman"/>
          <w:bCs w:val="0"/>
          <w:szCs w:val="20"/>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t>3</w:t>
      </w:r>
      <w:r w:rsidR="00672827">
        <w:rPr>
          <w:rFonts w:eastAsia="Times New Roman"/>
          <w:bCs w:val="0"/>
          <w:szCs w:val="20"/>
        </w:rPr>
        <w:t>1</w:t>
      </w:r>
      <w:r>
        <w:rPr>
          <w:rFonts w:eastAsia="Times New Roman"/>
          <w:bCs w:val="0"/>
          <w:szCs w:val="20"/>
        </w:rPr>
        <w:t xml:space="preserve">     Inventories</w:t>
      </w:r>
    </w:p>
    <w:p w:rsidR="005706AE" w:rsidRDefault="005706AE">
      <w:pPr>
        <w:pStyle w:val="xl50"/>
        <w:tabs>
          <w:tab w:val="left" w:pos="567"/>
        </w:tabs>
        <w:spacing w:before="0" w:beforeAutospacing="0" w:after="0" w:afterAutospacing="0"/>
        <w:rPr>
          <w:rFonts w:eastAsia="Times New Roman"/>
          <w:bCs w:val="0"/>
          <w:szCs w:val="20"/>
        </w:rPr>
      </w:pPr>
    </w:p>
    <w:p w:rsidR="00253081" w:rsidRPr="009B681D" w:rsidRDefault="009B681D" w:rsidP="009B681D">
      <w:pPr>
        <w:pStyle w:val="xl50"/>
        <w:tabs>
          <w:tab w:val="left" w:pos="567"/>
        </w:tabs>
        <w:spacing w:before="0" w:beforeAutospacing="0" w:after="0" w:afterAutospacing="0"/>
        <w:ind w:left="567"/>
        <w:rPr>
          <w:rFonts w:eastAsia="Times New Roman"/>
          <w:b w:val="0"/>
          <w:bCs w:val="0"/>
          <w:color w:val="000000" w:themeColor="text1"/>
          <w:szCs w:val="20"/>
        </w:rPr>
      </w:pPr>
      <w:r w:rsidRPr="009B681D">
        <w:rPr>
          <w:rFonts w:eastAsia="Times New Roman"/>
          <w:b w:val="0"/>
          <w:bCs w:val="0"/>
          <w:color w:val="000000" w:themeColor="text1"/>
          <w:szCs w:val="20"/>
        </w:rPr>
        <w:t>The Council’s inventories at 31 March are shown below:</w:t>
      </w:r>
    </w:p>
    <w:p w:rsidR="00253081" w:rsidRDefault="00253081" w:rsidP="00096A4D">
      <w:pPr>
        <w:pStyle w:val="xl50"/>
        <w:tabs>
          <w:tab w:val="left" w:pos="567"/>
        </w:tabs>
        <w:spacing w:before="0" w:beforeAutospacing="0" w:after="0" w:afterAutospacing="0"/>
        <w:jc w:val="center"/>
        <w:rPr>
          <w:rFonts w:eastAsia="Times New Roman"/>
          <w:bCs w:val="0"/>
          <w:szCs w:val="20"/>
        </w:rPr>
      </w:pPr>
    </w:p>
    <w:tbl>
      <w:tblPr>
        <w:tblW w:w="8208" w:type="dxa"/>
        <w:tblInd w:w="93" w:type="dxa"/>
        <w:tblLook w:val="04A0" w:firstRow="1" w:lastRow="0" w:firstColumn="1" w:lastColumn="0" w:noHBand="0" w:noVBand="1"/>
      </w:tblPr>
      <w:tblGrid>
        <w:gridCol w:w="287"/>
        <w:gridCol w:w="1094"/>
        <w:gridCol w:w="287"/>
        <w:gridCol w:w="4872"/>
        <w:gridCol w:w="287"/>
        <w:gridCol w:w="1094"/>
        <w:gridCol w:w="287"/>
      </w:tblGrid>
      <w:tr w:rsidR="00984B5E" w:rsidRPr="00984B5E" w:rsidTr="00984B5E">
        <w:trPr>
          <w:trHeight w:val="290"/>
        </w:trPr>
        <w:tc>
          <w:tcPr>
            <w:tcW w:w="287" w:type="dxa"/>
            <w:tcBorders>
              <w:top w:val="single" w:sz="4" w:space="0" w:color="auto"/>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single" w:sz="4" w:space="0" w:color="auto"/>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287" w:type="dxa"/>
            <w:tcBorders>
              <w:top w:val="single" w:sz="4" w:space="0" w:color="auto"/>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4872" w:type="dxa"/>
            <w:tcBorders>
              <w:top w:val="single" w:sz="4" w:space="0" w:color="auto"/>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287" w:type="dxa"/>
            <w:tcBorders>
              <w:top w:val="single" w:sz="4" w:space="0" w:color="auto"/>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single" w:sz="4" w:space="0" w:color="auto"/>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287" w:type="dxa"/>
            <w:tcBorders>
              <w:top w:val="single" w:sz="4" w:space="0" w:color="auto"/>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306"/>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r w:rsidRPr="00984B5E">
              <w:rPr>
                <w:rFonts w:ascii="Arial" w:hAnsi="Arial" w:cs="Arial"/>
                <w:b/>
                <w:bCs/>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r w:rsidRPr="00984B5E">
              <w:rPr>
                <w:rFonts w:ascii="Arial" w:hAnsi="Arial" w:cs="Arial"/>
                <w:b/>
                <w:bCs/>
                <w:sz w:val="22"/>
                <w:szCs w:val="22"/>
                <w:lang w:eastAsia="en-GB"/>
              </w:rPr>
              <w:t>2012-13</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p>
        </w:tc>
        <w:tc>
          <w:tcPr>
            <w:tcW w:w="287"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r w:rsidRPr="00984B5E">
              <w:rPr>
                <w:rFonts w:ascii="Arial" w:hAnsi="Arial" w:cs="Arial"/>
                <w:b/>
                <w:bCs/>
                <w:sz w:val="22"/>
                <w:szCs w:val="22"/>
                <w:lang w:eastAsia="en-GB"/>
              </w:rPr>
              <w:t>2013-14</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r w:rsidRPr="00984B5E">
              <w:rPr>
                <w:rFonts w:ascii="Arial" w:hAnsi="Arial" w:cs="Arial"/>
                <w:b/>
                <w:bCs/>
                <w:sz w:val="22"/>
                <w:szCs w:val="22"/>
                <w:lang w:eastAsia="en-GB"/>
              </w:rPr>
              <w:t> </w:t>
            </w:r>
          </w:p>
        </w:tc>
      </w:tr>
      <w:tr w:rsidR="00984B5E" w:rsidRPr="00984B5E" w:rsidTr="00984B5E">
        <w:trPr>
          <w:trHeight w:val="306"/>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r w:rsidRPr="00984B5E">
              <w:rPr>
                <w:rFonts w:ascii="Arial" w:hAnsi="Arial" w:cs="Arial"/>
                <w:b/>
                <w:bCs/>
                <w:sz w:val="22"/>
                <w:szCs w:val="22"/>
                <w:lang w:eastAsia="en-GB"/>
              </w:rPr>
              <w:t>£</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r w:rsidRPr="00984B5E">
              <w:rPr>
                <w:rFonts w:ascii="Arial" w:hAnsi="Arial" w:cs="Arial"/>
                <w:b/>
                <w:bCs/>
                <w:sz w:val="22"/>
                <w:szCs w:val="22"/>
                <w:lang w:eastAsia="en-GB"/>
              </w:rPr>
              <w:t>£</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306"/>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center"/>
              <w:rPr>
                <w:rFonts w:ascii="Arial" w:hAnsi="Arial" w:cs="Arial"/>
                <w:b/>
                <w:bCs/>
                <w:sz w:val="22"/>
                <w:szCs w:val="22"/>
                <w:lang w:eastAsia="en-GB"/>
              </w:rPr>
            </w:pP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290"/>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51,137 </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DSO - Recycling and refuse bins and sacks</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38,167 </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290"/>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1,910 </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Catering</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1,882 </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290"/>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4,444 </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Post</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7,472 </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290"/>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 xml:space="preserve">0 </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Fuel</w:t>
            </w: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jc w:val="right"/>
              <w:rPr>
                <w:rFonts w:ascii="Arial" w:hAnsi="Arial" w:cs="Arial"/>
                <w:sz w:val="22"/>
                <w:szCs w:val="22"/>
                <w:lang w:eastAsia="en-GB"/>
              </w:rPr>
            </w:pPr>
            <w:r w:rsidRPr="00984B5E">
              <w:rPr>
                <w:rFonts w:ascii="Arial" w:hAnsi="Arial" w:cs="Arial"/>
                <w:sz w:val="22"/>
                <w:szCs w:val="22"/>
                <w:lang w:eastAsia="en-GB"/>
              </w:rPr>
              <w:t>(452)</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306"/>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4872"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287"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1094" w:type="dxa"/>
            <w:tcBorders>
              <w:top w:val="nil"/>
              <w:left w:val="nil"/>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321"/>
        </w:trPr>
        <w:tc>
          <w:tcPr>
            <w:tcW w:w="287" w:type="dxa"/>
            <w:tcBorders>
              <w:top w:val="nil"/>
              <w:left w:val="single" w:sz="4" w:space="0" w:color="auto"/>
              <w:bottom w:val="nil"/>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single" w:sz="8" w:space="0" w:color="auto"/>
              <w:left w:val="nil"/>
              <w:bottom w:val="single" w:sz="8" w:space="0" w:color="auto"/>
              <w:right w:val="nil"/>
            </w:tcBorders>
            <w:shd w:val="clear" w:color="auto" w:fill="auto"/>
            <w:noWrap/>
            <w:vAlign w:val="bottom"/>
            <w:hideMark/>
          </w:tcPr>
          <w:p w:rsidR="00984B5E" w:rsidRPr="00984B5E" w:rsidRDefault="00984B5E" w:rsidP="00984B5E">
            <w:pPr>
              <w:jc w:val="right"/>
              <w:rPr>
                <w:rFonts w:ascii="Arial" w:hAnsi="Arial" w:cs="Arial"/>
                <w:b/>
                <w:bCs/>
                <w:sz w:val="22"/>
                <w:szCs w:val="22"/>
                <w:lang w:eastAsia="en-GB"/>
              </w:rPr>
            </w:pPr>
            <w:r w:rsidRPr="00984B5E">
              <w:rPr>
                <w:rFonts w:ascii="Arial" w:hAnsi="Arial" w:cs="Arial"/>
                <w:b/>
                <w:bCs/>
                <w:sz w:val="22"/>
                <w:szCs w:val="22"/>
                <w:lang w:eastAsia="en-GB"/>
              </w:rPr>
              <w:t xml:space="preserve">57,491 </w:t>
            </w:r>
          </w:p>
        </w:tc>
        <w:tc>
          <w:tcPr>
            <w:tcW w:w="287" w:type="dxa"/>
            <w:tcBorders>
              <w:top w:val="single" w:sz="8" w:space="0" w:color="auto"/>
              <w:left w:val="nil"/>
              <w:bottom w:val="single" w:sz="8" w:space="0" w:color="auto"/>
              <w:right w:val="nil"/>
            </w:tcBorders>
            <w:shd w:val="clear" w:color="auto" w:fill="auto"/>
            <w:noWrap/>
            <w:vAlign w:val="bottom"/>
            <w:hideMark/>
          </w:tcPr>
          <w:p w:rsidR="00984B5E" w:rsidRPr="00984B5E" w:rsidRDefault="00984B5E" w:rsidP="00984B5E">
            <w:pPr>
              <w:rPr>
                <w:rFonts w:ascii="Arial" w:hAnsi="Arial" w:cs="Arial"/>
                <w:b/>
                <w:bCs/>
                <w:sz w:val="22"/>
                <w:szCs w:val="22"/>
                <w:lang w:eastAsia="en-GB"/>
              </w:rPr>
            </w:pPr>
            <w:r w:rsidRPr="00984B5E">
              <w:rPr>
                <w:rFonts w:ascii="Arial" w:hAnsi="Arial" w:cs="Arial"/>
                <w:b/>
                <w:bCs/>
                <w:sz w:val="22"/>
                <w:szCs w:val="22"/>
                <w:lang w:eastAsia="en-GB"/>
              </w:rPr>
              <w:t> </w:t>
            </w:r>
          </w:p>
        </w:tc>
        <w:tc>
          <w:tcPr>
            <w:tcW w:w="4872" w:type="dxa"/>
            <w:tcBorders>
              <w:top w:val="single" w:sz="8" w:space="0" w:color="auto"/>
              <w:left w:val="nil"/>
              <w:bottom w:val="single" w:sz="8" w:space="0" w:color="auto"/>
              <w:right w:val="nil"/>
            </w:tcBorders>
            <w:shd w:val="clear" w:color="auto" w:fill="auto"/>
            <w:noWrap/>
            <w:vAlign w:val="bottom"/>
            <w:hideMark/>
          </w:tcPr>
          <w:p w:rsidR="00984B5E" w:rsidRPr="00984B5E" w:rsidRDefault="00984B5E" w:rsidP="00984B5E">
            <w:pPr>
              <w:rPr>
                <w:rFonts w:ascii="Arial" w:hAnsi="Arial" w:cs="Arial"/>
                <w:b/>
                <w:bCs/>
                <w:sz w:val="22"/>
                <w:szCs w:val="22"/>
                <w:lang w:eastAsia="en-GB"/>
              </w:rPr>
            </w:pPr>
            <w:r w:rsidRPr="00984B5E">
              <w:rPr>
                <w:rFonts w:ascii="Arial" w:hAnsi="Arial" w:cs="Arial"/>
                <w:b/>
                <w:bCs/>
                <w:sz w:val="22"/>
                <w:szCs w:val="22"/>
                <w:lang w:eastAsia="en-GB"/>
              </w:rPr>
              <w:t> </w:t>
            </w:r>
          </w:p>
        </w:tc>
        <w:tc>
          <w:tcPr>
            <w:tcW w:w="287" w:type="dxa"/>
            <w:tcBorders>
              <w:top w:val="single" w:sz="8" w:space="0" w:color="auto"/>
              <w:left w:val="nil"/>
              <w:bottom w:val="single" w:sz="8" w:space="0" w:color="auto"/>
              <w:right w:val="nil"/>
            </w:tcBorders>
            <w:shd w:val="clear" w:color="auto" w:fill="auto"/>
            <w:noWrap/>
            <w:vAlign w:val="bottom"/>
            <w:hideMark/>
          </w:tcPr>
          <w:p w:rsidR="00984B5E" w:rsidRPr="00984B5E" w:rsidRDefault="00984B5E" w:rsidP="00984B5E">
            <w:pPr>
              <w:rPr>
                <w:rFonts w:ascii="Arial" w:hAnsi="Arial" w:cs="Arial"/>
                <w:b/>
                <w:bCs/>
                <w:sz w:val="22"/>
                <w:szCs w:val="22"/>
                <w:lang w:eastAsia="en-GB"/>
              </w:rPr>
            </w:pPr>
            <w:r w:rsidRPr="00984B5E">
              <w:rPr>
                <w:rFonts w:ascii="Arial" w:hAnsi="Arial" w:cs="Arial"/>
                <w:b/>
                <w:bCs/>
                <w:sz w:val="22"/>
                <w:szCs w:val="22"/>
                <w:lang w:eastAsia="en-GB"/>
              </w:rPr>
              <w:t> </w:t>
            </w:r>
          </w:p>
        </w:tc>
        <w:tc>
          <w:tcPr>
            <w:tcW w:w="1094" w:type="dxa"/>
            <w:tcBorders>
              <w:top w:val="single" w:sz="8" w:space="0" w:color="auto"/>
              <w:left w:val="nil"/>
              <w:bottom w:val="single" w:sz="8" w:space="0" w:color="auto"/>
              <w:right w:val="nil"/>
            </w:tcBorders>
            <w:shd w:val="clear" w:color="auto" w:fill="auto"/>
            <w:noWrap/>
            <w:vAlign w:val="bottom"/>
            <w:hideMark/>
          </w:tcPr>
          <w:p w:rsidR="00984B5E" w:rsidRPr="00984B5E" w:rsidRDefault="00984B5E" w:rsidP="00984B5E">
            <w:pPr>
              <w:jc w:val="right"/>
              <w:rPr>
                <w:rFonts w:ascii="Arial" w:hAnsi="Arial" w:cs="Arial"/>
                <w:b/>
                <w:bCs/>
                <w:sz w:val="22"/>
                <w:szCs w:val="22"/>
                <w:lang w:eastAsia="en-GB"/>
              </w:rPr>
            </w:pPr>
            <w:r w:rsidRPr="00984B5E">
              <w:rPr>
                <w:rFonts w:ascii="Arial" w:hAnsi="Arial" w:cs="Arial"/>
                <w:b/>
                <w:bCs/>
                <w:sz w:val="22"/>
                <w:szCs w:val="22"/>
                <w:lang w:eastAsia="en-GB"/>
              </w:rPr>
              <w:t xml:space="preserve">47,069 </w:t>
            </w:r>
          </w:p>
        </w:tc>
        <w:tc>
          <w:tcPr>
            <w:tcW w:w="287" w:type="dxa"/>
            <w:tcBorders>
              <w:top w:val="nil"/>
              <w:left w:val="nil"/>
              <w:bottom w:val="nil"/>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r w:rsidR="00984B5E" w:rsidRPr="00984B5E" w:rsidTr="00984B5E">
        <w:trPr>
          <w:trHeight w:val="290"/>
        </w:trPr>
        <w:tc>
          <w:tcPr>
            <w:tcW w:w="287" w:type="dxa"/>
            <w:tcBorders>
              <w:top w:val="nil"/>
              <w:left w:val="single" w:sz="4" w:space="0" w:color="auto"/>
              <w:bottom w:val="single" w:sz="4" w:space="0" w:color="auto"/>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single" w:sz="4" w:space="0" w:color="auto"/>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287" w:type="dxa"/>
            <w:tcBorders>
              <w:top w:val="nil"/>
              <w:left w:val="nil"/>
              <w:bottom w:val="single" w:sz="4" w:space="0" w:color="auto"/>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4872" w:type="dxa"/>
            <w:tcBorders>
              <w:top w:val="nil"/>
              <w:left w:val="nil"/>
              <w:bottom w:val="single" w:sz="4" w:space="0" w:color="auto"/>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287" w:type="dxa"/>
            <w:tcBorders>
              <w:top w:val="nil"/>
              <w:left w:val="nil"/>
              <w:bottom w:val="single" w:sz="4" w:space="0" w:color="auto"/>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1094" w:type="dxa"/>
            <w:tcBorders>
              <w:top w:val="nil"/>
              <w:left w:val="nil"/>
              <w:bottom w:val="single" w:sz="4" w:space="0" w:color="auto"/>
              <w:right w:val="nil"/>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c>
          <w:tcPr>
            <w:tcW w:w="287" w:type="dxa"/>
            <w:tcBorders>
              <w:top w:val="nil"/>
              <w:left w:val="nil"/>
              <w:bottom w:val="single" w:sz="4" w:space="0" w:color="auto"/>
              <w:right w:val="single" w:sz="4" w:space="0" w:color="auto"/>
            </w:tcBorders>
            <w:shd w:val="clear" w:color="auto" w:fill="auto"/>
            <w:noWrap/>
            <w:vAlign w:val="bottom"/>
            <w:hideMark/>
          </w:tcPr>
          <w:p w:rsidR="00984B5E" w:rsidRPr="00984B5E" w:rsidRDefault="00984B5E" w:rsidP="00984B5E">
            <w:pPr>
              <w:rPr>
                <w:rFonts w:ascii="Arial" w:hAnsi="Arial" w:cs="Arial"/>
                <w:sz w:val="22"/>
                <w:szCs w:val="22"/>
                <w:lang w:eastAsia="en-GB"/>
              </w:rPr>
            </w:pPr>
            <w:r w:rsidRPr="00984B5E">
              <w:rPr>
                <w:rFonts w:ascii="Arial" w:hAnsi="Arial" w:cs="Arial"/>
                <w:sz w:val="22"/>
                <w:szCs w:val="22"/>
                <w:lang w:eastAsia="en-GB"/>
              </w:rPr>
              <w:t> </w:t>
            </w:r>
          </w:p>
        </w:tc>
      </w:tr>
    </w:tbl>
    <w:p w:rsidR="00253081" w:rsidRDefault="00253081" w:rsidP="000A55EE">
      <w:pPr>
        <w:pStyle w:val="xl50"/>
        <w:tabs>
          <w:tab w:val="left" w:pos="567"/>
        </w:tabs>
        <w:spacing w:before="0" w:beforeAutospacing="0" w:after="0" w:afterAutospacing="0"/>
        <w:jc w:val="center"/>
        <w:rPr>
          <w:rFonts w:eastAsia="Times New Roman"/>
          <w:bCs w:val="0"/>
          <w:szCs w:val="20"/>
        </w:rPr>
      </w:pPr>
    </w:p>
    <w:p w:rsidR="00253081" w:rsidRDefault="00253081">
      <w:pPr>
        <w:pStyle w:val="xl50"/>
        <w:tabs>
          <w:tab w:val="left" w:pos="567"/>
        </w:tabs>
        <w:spacing w:before="0" w:beforeAutospacing="0" w:after="0" w:afterAutospacing="0"/>
        <w:rPr>
          <w:rFonts w:eastAsia="Times New Roman"/>
          <w:bCs w:val="0"/>
          <w:szCs w:val="20"/>
        </w:rPr>
      </w:pPr>
    </w:p>
    <w:p w:rsidR="00253081" w:rsidRDefault="00253081">
      <w:pPr>
        <w:pStyle w:val="xl50"/>
        <w:tabs>
          <w:tab w:val="left" w:pos="567"/>
        </w:tabs>
        <w:spacing w:before="0" w:beforeAutospacing="0" w:after="0" w:afterAutospacing="0"/>
        <w:rPr>
          <w:rFonts w:eastAsia="Times New Roman"/>
          <w:bCs w:val="0"/>
          <w:szCs w:val="20"/>
        </w:rPr>
      </w:pPr>
    </w:p>
    <w:p w:rsidR="00F23FFF" w:rsidRDefault="00F23FFF">
      <w:pPr>
        <w:rPr>
          <w:rFonts w:ascii="Arial" w:hAnsi="Arial" w:cs="Arial"/>
          <w:bCs/>
          <w:color w:val="000080"/>
          <w:sz w:val="24"/>
        </w:rPr>
      </w:pPr>
    </w:p>
    <w:p w:rsidR="00F23FFF" w:rsidRDefault="00F23FFF">
      <w:pPr>
        <w:rPr>
          <w:rFonts w:ascii="Arial" w:hAnsi="Arial" w:cs="Arial"/>
          <w:bCs/>
          <w:color w:val="000080"/>
          <w:sz w:val="24"/>
        </w:rPr>
      </w:pPr>
    </w:p>
    <w:p w:rsidR="00253081" w:rsidRDefault="00253081">
      <w:pPr>
        <w:rPr>
          <w:rFonts w:ascii="Arial" w:hAnsi="Arial" w:cs="Arial"/>
          <w:bCs/>
          <w:color w:val="000080"/>
          <w:sz w:val="24"/>
        </w:rPr>
      </w:pPr>
    </w:p>
    <w:p w:rsidR="000A55EE" w:rsidRDefault="000A55EE">
      <w:pPr>
        <w:rPr>
          <w:rFonts w:ascii="Arial" w:hAnsi="Arial" w:cs="Arial"/>
          <w:bCs/>
          <w:color w:val="000080"/>
          <w:sz w:val="24"/>
        </w:rPr>
      </w:pPr>
    </w:p>
    <w:p w:rsidR="000A55EE" w:rsidRDefault="000A55EE">
      <w:pPr>
        <w:rPr>
          <w:rFonts w:ascii="Arial" w:hAnsi="Arial" w:cs="Arial"/>
          <w:bCs/>
          <w:color w:val="000080"/>
          <w:sz w:val="24"/>
        </w:rPr>
      </w:pPr>
    </w:p>
    <w:p w:rsidR="000A55EE" w:rsidRDefault="000A55EE">
      <w:pPr>
        <w:rPr>
          <w:rFonts w:ascii="Arial" w:hAnsi="Arial" w:cs="Arial"/>
          <w:bCs/>
          <w:color w:val="000080"/>
          <w:sz w:val="24"/>
        </w:rPr>
      </w:pPr>
    </w:p>
    <w:p w:rsidR="000A55EE" w:rsidRDefault="000A55EE">
      <w:pPr>
        <w:rPr>
          <w:rFonts w:ascii="Arial" w:hAnsi="Arial" w:cs="Arial"/>
          <w:bCs/>
          <w:color w:val="000080"/>
          <w:sz w:val="24"/>
        </w:rPr>
      </w:pPr>
    </w:p>
    <w:p w:rsidR="00253081" w:rsidRDefault="00253081">
      <w:pPr>
        <w:rPr>
          <w:rFonts w:ascii="Arial" w:hAnsi="Arial" w:cs="Arial"/>
          <w:bCs/>
          <w:color w:val="000080"/>
          <w:sz w:val="24"/>
        </w:rPr>
      </w:pPr>
    </w:p>
    <w:p w:rsidR="00F23FFF" w:rsidRDefault="00F23FFF">
      <w:pPr>
        <w:rPr>
          <w:rFonts w:ascii="Arial" w:hAnsi="Arial" w:cs="Arial"/>
          <w:bCs/>
          <w:color w:val="000080"/>
          <w:sz w:val="24"/>
        </w:rPr>
      </w:pPr>
    </w:p>
    <w:p w:rsidR="00096A4D" w:rsidRDefault="00096A4D">
      <w:pPr>
        <w:rPr>
          <w:rFonts w:ascii="Arial" w:hAnsi="Arial" w:cs="Arial"/>
          <w:bCs/>
          <w:color w:val="000080"/>
          <w:sz w:val="24"/>
        </w:rPr>
      </w:pPr>
    </w:p>
    <w:p w:rsidR="00F23FFF" w:rsidRDefault="003552BC">
      <w:pPr>
        <w:ind w:left="567" w:hanging="567"/>
        <w:rPr>
          <w:rFonts w:ascii="Arial" w:hAnsi="Arial" w:cs="Arial"/>
          <w:b/>
          <w:color w:val="000080"/>
          <w:sz w:val="24"/>
        </w:rPr>
      </w:pPr>
      <w:r>
        <w:rPr>
          <w:rFonts w:ascii="Arial" w:hAnsi="Arial" w:cs="Arial"/>
          <w:b/>
          <w:color w:val="000080"/>
          <w:sz w:val="24"/>
        </w:rPr>
        <w:t>3</w:t>
      </w:r>
      <w:r w:rsidR="00672827">
        <w:rPr>
          <w:rFonts w:ascii="Arial" w:hAnsi="Arial" w:cs="Arial"/>
          <w:b/>
          <w:color w:val="000080"/>
          <w:sz w:val="24"/>
        </w:rPr>
        <w:t>2</w:t>
      </w:r>
      <w:r>
        <w:rPr>
          <w:rFonts w:ascii="Arial" w:hAnsi="Arial" w:cs="Arial"/>
          <w:b/>
          <w:color w:val="000080"/>
          <w:sz w:val="24"/>
        </w:rPr>
        <w:t xml:space="preserve">      Short Term Debtors</w:t>
      </w:r>
    </w:p>
    <w:p w:rsidR="00765D5E" w:rsidRDefault="00765D5E">
      <w:pPr>
        <w:ind w:left="567" w:hanging="567"/>
        <w:rPr>
          <w:rFonts w:ascii="Arial" w:hAnsi="Arial" w:cs="Arial"/>
          <w:b/>
          <w:color w:val="000080"/>
          <w:sz w:val="24"/>
        </w:rPr>
      </w:pPr>
    </w:p>
    <w:p w:rsidR="00765D5E" w:rsidRDefault="00765D5E">
      <w:pPr>
        <w:ind w:left="567" w:hanging="567"/>
        <w:rPr>
          <w:rFonts w:ascii="Arial" w:hAnsi="Arial" w:cs="Arial"/>
          <w:b/>
          <w:color w:val="000080"/>
          <w:sz w:val="24"/>
        </w:rPr>
      </w:pPr>
    </w:p>
    <w:tbl>
      <w:tblPr>
        <w:tblW w:w="8440" w:type="dxa"/>
        <w:jc w:val="center"/>
        <w:tblInd w:w="93" w:type="dxa"/>
        <w:tblLook w:val="04A0" w:firstRow="1" w:lastRow="0" w:firstColumn="1" w:lastColumn="0" w:noHBand="0" w:noVBand="1"/>
      </w:tblPr>
      <w:tblGrid>
        <w:gridCol w:w="340"/>
        <w:gridCol w:w="1342"/>
        <w:gridCol w:w="320"/>
        <w:gridCol w:w="4540"/>
        <w:gridCol w:w="360"/>
        <w:gridCol w:w="1342"/>
        <w:gridCol w:w="280"/>
      </w:tblGrid>
      <w:tr w:rsidR="00FA4CC5" w:rsidRPr="00FA4CC5" w:rsidTr="00FA4CC5">
        <w:trPr>
          <w:trHeight w:val="285"/>
          <w:jc w:val="center"/>
        </w:trPr>
        <w:tc>
          <w:tcPr>
            <w:tcW w:w="340" w:type="dxa"/>
            <w:tcBorders>
              <w:top w:val="single" w:sz="4" w:space="0" w:color="auto"/>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single" w:sz="4" w:space="0" w:color="auto"/>
              <w:left w:val="nil"/>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320" w:type="dxa"/>
            <w:tcBorders>
              <w:top w:val="single" w:sz="4" w:space="0" w:color="auto"/>
              <w:left w:val="nil"/>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4540" w:type="dxa"/>
            <w:tcBorders>
              <w:top w:val="single" w:sz="4" w:space="0" w:color="auto"/>
              <w:left w:val="nil"/>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360" w:type="dxa"/>
            <w:tcBorders>
              <w:top w:val="single" w:sz="4" w:space="0" w:color="auto"/>
              <w:left w:val="nil"/>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single" w:sz="4" w:space="0" w:color="auto"/>
              <w:left w:val="nil"/>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280" w:type="dxa"/>
            <w:tcBorders>
              <w:top w:val="single" w:sz="4" w:space="0" w:color="auto"/>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31 March</w:t>
            </w:r>
          </w:p>
        </w:tc>
        <w:tc>
          <w:tcPr>
            <w:tcW w:w="320" w:type="dxa"/>
            <w:tcBorders>
              <w:top w:val="nil"/>
              <w:left w:val="nil"/>
              <w:bottom w:val="nil"/>
              <w:right w:val="nil"/>
            </w:tcBorders>
            <w:shd w:val="clear" w:color="auto" w:fill="auto"/>
            <w:vAlign w:val="center"/>
            <w:hideMark/>
          </w:tcPr>
          <w:p w:rsidR="00FA4CC5" w:rsidRPr="00FA4CC5" w:rsidRDefault="00FA4CC5" w:rsidP="00FA4CC5">
            <w:pPr>
              <w:jc w:val="center"/>
              <w:rPr>
                <w:color w:val="000000"/>
                <w:sz w:val="22"/>
                <w:szCs w:val="22"/>
                <w:lang w:eastAsia="en-GB"/>
              </w:rPr>
            </w:pPr>
          </w:p>
        </w:tc>
        <w:tc>
          <w:tcPr>
            <w:tcW w:w="454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36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31 March</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2013</w:t>
            </w:r>
          </w:p>
        </w:tc>
        <w:tc>
          <w:tcPr>
            <w:tcW w:w="320" w:type="dxa"/>
            <w:tcBorders>
              <w:top w:val="nil"/>
              <w:left w:val="nil"/>
              <w:bottom w:val="nil"/>
              <w:right w:val="nil"/>
            </w:tcBorders>
            <w:shd w:val="clear" w:color="auto" w:fill="auto"/>
            <w:vAlign w:val="center"/>
            <w:hideMark/>
          </w:tcPr>
          <w:p w:rsidR="00FA4CC5" w:rsidRPr="00FA4CC5" w:rsidRDefault="00FA4CC5" w:rsidP="00FA4CC5">
            <w:pPr>
              <w:jc w:val="center"/>
              <w:rPr>
                <w:color w:val="000000"/>
                <w:sz w:val="22"/>
                <w:szCs w:val="22"/>
                <w:lang w:eastAsia="en-GB"/>
              </w:rPr>
            </w:pPr>
          </w:p>
        </w:tc>
        <w:tc>
          <w:tcPr>
            <w:tcW w:w="454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36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2014</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15"/>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single" w:sz="8" w:space="0" w:color="auto"/>
              <w:right w:val="nil"/>
            </w:tcBorders>
            <w:shd w:val="clear" w:color="auto" w:fill="auto"/>
            <w:noWrap/>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w:t>
            </w:r>
          </w:p>
        </w:tc>
        <w:tc>
          <w:tcPr>
            <w:tcW w:w="320" w:type="dxa"/>
            <w:tcBorders>
              <w:top w:val="nil"/>
              <w:left w:val="nil"/>
              <w:bottom w:val="single" w:sz="8" w:space="0" w:color="auto"/>
              <w:right w:val="nil"/>
            </w:tcBorders>
            <w:shd w:val="clear" w:color="auto" w:fill="auto"/>
            <w:noWrap/>
            <w:vAlign w:val="center"/>
            <w:hideMark/>
          </w:tcPr>
          <w:p w:rsidR="00FA4CC5" w:rsidRPr="00FA4CC5" w:rsidRDefault="00FA4CC5" w:rsidP="00FA4CC5">
            <w:pPr>
              <w:jc w:val="center"/>
              <w:rPr>
                <w:color w:val="000000"/>
                <w:sz w:val="22"/>
                <w:szCs w:val="22"/>
                <w:lang w:eastAsia="en-GB"/>
              </w:rPr>
            </w:pPr>
            <w:r w:rsidRPr="00FA4CC5">
              <w:rPr>
                <w:color w:val="000000"/>
                <w:sz w:val="22"/>
                <w:szCs w:val="22"/>
                <w:lang w:eastAsia="en-GB"/>
              </w:rPr>
              <w:t> </w:t>
            </w:r>
          </w:p>
        </w:tc>
        <w:tc>
          <w:tcPr>
            <w:tcW w:w="454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Debtors</w:t>
            </w:r>
          </w:p>
        </w:tc>
        <w:tc>
          <w:tcPr>
            <w:tcW w:w="36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1300" w:type="dxa"/>
            <w:tcBorders>
              <w:top w:val="nil"/>
              <w:left w:val="nil"/>
              <w:bottom w:val="single" w:sz="8" w:space="0" w:color="auto"/>
              <w:right w:val="nil"/>
            </w:tcBorders>
            <w:shd w:val="clear" w:color="auto" w:fill="auto"/>
            <w:noWrap/>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320" w:type="dxa"/>
            <w:tcBorders>
              <w:top w:val="nil"/>
              <w:left w:val="nil"/>
              <w:bottom w:val="nil"/>
              <w:right w:val="nil"/>
            </w:tcBorders>
            <w:shd w:val="clear" w:color="auto" w:fill="auto"/>
            <w:noWrap/>
            <w:vAlign w:val="center"/>
            <w:hideMark/>
          </w:tcPr>
          <w:p w:rsidR="00FA4CC5" w:rsidRPr="00FA4CC5" w:rsidRDefault="00FA4CC5" w:rsidP="00FA4CC5">
            <w:pPr>
              <w:jc w:val="cente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586,856</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Government Departments - other</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675,161</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192,109</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Government Departments - Business Rates</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3,774,410</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129,176</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xml:space="preserve">Council Tax </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143,668</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Business rates</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500,364</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364,607</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Housing Rents</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429,733</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63,918</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Cambridgeshire County Council</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781,630</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900" w:type="dxa"/>
            <w:gridSpan w:val="2"/>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Cambridgeshire &amp; Peterborough Fire Authority</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75,488</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 City Council</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70,000</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3,070,451</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Sundry Debtors</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1,520,948</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32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454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36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single" w:sz="8" w:space="0" w:color="auto"/>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4,407,117</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single" w:sz="8" w:space="0" w:color="auto"/>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7,971,402</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Provision for Doubtful Debts</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(53,585)</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Council Tax -District Council share</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(316,302)</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Business Rates- District Council share</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(62,506)</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(316,067)</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Housing</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(339,778)</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(1,259,197)</w:t>
            </w: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Sundry Debtors</w:t>
            </w:r>
          </w:p>
        </w:tc>
        <w:tc>
          <w:tcPr>
            <w:tcW w:w="36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(1,428,906)</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single" w:sz="8" w:space="0" w:color="auto"/>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(1,628,849)</w:t>
            </w:r>
          </w:p>
        </w:tc>
        <w:tc>
          <w:tcPr>
            <w:tcW w:w="320" w:type="dxa"/>
            <w:tcBorders>
              <w:top w:val="single" w:sz="8" w:space="0" w:color="auto"/>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4540" w:type="dxa"/>
            <w:tcBorders>
              <w:top w:val="single" w:sz="8" w:space="0" w:color="auto"/>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single" w:sz="8" w:space="0" w:color="auto"/>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(2,147,492)</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15"/>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3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4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30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15"/>
          <w:jc w:val="center"/>
        </w:trPr>
        <w:tc>
          <w:tcPr>
            <w:tcW w:w="340" w:type="dxa"/>
            <w:tcBorders>
              <w:top w:val="nil"/>
              <w:left w:val="single" w:sz="4" w:space="0" w:color="auto"/>
              <w:bottom w:val="nil"/>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jc w:val="right"/>
              <w:rPr>
                <w:rFonts w:ascii="Arial" w:hAnsi="Arial" w:cs="Arial"/>
                <w:b/>
                <w:bCs/>
                <w:color w:val="000000"/>
                <w:sz w:val="22"/>
                <w:szCs w:val="22"/>
                <w:lang w:eastAsia="en-GB"/>
              </w:rPr>
            </w:pPr>
            <w:r w:rsidRPr="00FA4CC5">
              <w:rPr>
                <w:rFonts w:ascii="Arial" w:hAnsi="Arial" w:cs="Arial"/>
                <w:b/>
                <w:bCs/>
                <w:color w:val="000000"/>
                <w:sz w:val="22"/>
                <w:szCs w:val="22"/>
                <w:lang w:eastAsia="en-GB"/>
              </w:rPr>
              <w:t>2,778,268</w:t>
            </w:r>
          </w:p>
        </w:tc>
        <w:tc>
          <w:tcPr>
            <w:tcW w:w="32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 </w:t>
            </w:r>
          </w:p>
        </w:tc>
        <w:tc>
          <w:tcPr>
            <w:tcW w:w="454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Total Debtors</w:t>
            </w:r>
          </w:p>
        </w:tc>
        <w:tc>
          <w:tcPr>
            <w:tcW w:w="36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 </w:t>
            </w:r>
          </w:p>
        </w:tc>
        <w:tc>
          <w:tcPr>
            <w:tcW w:w="130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jc w:val="right"/>
              <w:rPr>
                <w:rFonts w:ascii="Arial" w:hAnsi="Arial" w:cs="Arial"/>
                <w:b/>
                <w:bCs/>
                <w:color w:val="000000"/>
                <w:sz w:val="22"/>
                <w:szCs w:val="22"/>
                <w:lang w:eastAsia="en-GB"/>
              </w:rPr>
            </w:pPr>
            <w:r w:rsidRPr="00FA4CC5">
              <w:rPr>
                <w:rFonts w:ascii="Arial" w:hAnsi="Arial" w:cs="Arial"/>
                <w:b/>
                <w:bCs/>
                <w:color w:val="000000"/>
                <w:sz w:val="22"/>
                <w:szCs w:val="22"/>
                <w:lang w:eastAsia="en-GB"/>
              </w:rPr>
              <w:t>5,823,910</w:t>
            </w:r>
          </w:p>
        </w:tc>
        <w:tc>
          <w:tcPr>
            <w:tcW w:w="28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240"/>
          <w:jc w:val="center"/>
        </w:trPr>
        <w:tc>
          <w:tcPr>
            <w:tcW w:w="340" w:type="dxa"/>
            <w:tcBorders>
              <w:top w:val="nil"/>
              <w:left w:val="single" w:sz="4" w:space="0" w:color="auto"/>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32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454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36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0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280" w:type="dxa"/>
            <w:tcBorders>
              <w:top w:val="nil"/>
              <w:left w:val="nil"/>
              <w:bottom w:val="single" w:sz="4" w:space="0" w:color="auto"/>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bl>
    <w:p w:rsidR="00765D5E" w:rsidRDefault="00765D5E" w:rsidP="00765D5E">
      <w:pPr>
        <w:rPr>
          <w:rFonts w:ascii="Arial" w:hAnsi="Arial" w:cs="Arial"/>
          <w:b/>
          <w:color w:val="000080"/>
          <w:sz w:val="24"/>
        </w:rPr>
      </w:pPr>
    </w:p>
    <w:p w:rsidR="00F23FFF" w:rsidRDefault="00F23FFF" w:rsidP="00765D5E">
      <w:pPr>
        <w:rPr>
          <w:rFonts w:ascii="Arial" w:hAnsi="Arial" w:cs="Arial"/>
          <w:sz w:val="22"/>
        </w:rPr>
      </w:pPr>
    </w:p>
    <w:p w:rsidR="00F23FFF" w:rsidRDefault="00F23FFF">
      <w:pPr>
        <w:ind w:left="709"/>
        <w:rPr>
          <w:rFonts w:ascii="Arial" w:hAnsi="Arial" w:cs="Arial"/>
          <w:sz w:val="22"/>
        </w:rPr>
      </w:pPr>
    </w:p>
    <w:p w:rsidR="00F23FFF" w:rsidRDefault="003552BC">
      <w:pPr>
        <w:ind w:left="709"/>
        <w:rPr>
          <w:rFonts w:ascii="Arial" w:hAnsi="Arial" w:cs="Arial"/>
          <w:sz w:val="22"/>
        </w:rPr>
      </w:pPr>
      <w:r>
        <w:rPr>
          <w:rFonts w:ascii="Arial" w:hAnsi="Arial" w:cs="Arial"/>
          <w:sz w:val="22"/>
        </w:rPr>
        <w:t xml:space="preserve">The credit risk associated with accounts payable to the Council is reflected in the provisions made in the accounts for doubtful debts the methodology applied being given in </w:t>
      </w:r>
      <w:r w:rsidRPr="001320F0">
        <w:rPr>
          <w:rFonts w:ascii="Arial" w:hAnsi="Arial" w:cs="Arial"/>
          <w:sz w:val="22"/>
        </w:rPr>
        <w:t xml:space="preserve">Note </w:t>
      </w:r>
      <w:r w:rsidRPr="000A55EE">
        <w:rPr>
          <w:rFonts w:ascii="Arial" w:hAnsi="Arial" w:cs="Arial"/>
          <w:sz w:val="22"/>
        </w:rPr>
        <w:t>3</w:t>
      </w:r>
      <w:r w:rsidR="00E45876" w:rsidRPr="000A55EE">
        <w:rPr>
          <w:rFonts w:ascii="Arial" w:hAnsi="Arial" w:cs="Arial"/>
          <w:sz w:val="22"/>
        </w:rPr>
        <w:t>7</w:t>
      </w:r>
      <w:r w:rsidRPr="000A55EE">
        <w:rPr>
          <w:rFonts w:ascii="Arial" w:hAnsi="Arial" w:cs="Arial"/>
          <w:sz w:val="22"/>
        </w:rPr>
        <w:t>.</w:t>
      </w:r>
    </w:p>
    <w:p w:rsidR="00F23FFF" w:rsidRDefault="00F23FFF">
      <w:pPr>
        <w:rPr>
          <w:rFonts w:ascii="Arial" w:hAnsi="Arial" w:cs="Arial"/>
          <w:bCs/>
          <w:color w:val="000080"/>
          <w:sz w:val="24"/>
        </w:rPr>
      </w:pPr>
    </w:p>
    <w:p w:rsidR="00F23FFF" w:rsidRDefault="00F23FFF">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5706AE" w:rsidRDefault="005706AE">
      <w:pPr>
        <w:rPr>
          <w:rFonts w:ascii="Arial" w:hAnsi="Arial" w:cs="Arial"/>
          <w:bCs/>
          <w:color w:val="000080"/>
          <w:sz w:val="24"/>
        </w:rPr>
      </w:pPr>
    </w:p>
    <w:p w:rsidR="00EF7C10" w:rsidRDefault="00EF7C10">
      <w:pPr>
        <w:rPr>
          <w:rFonts w:ascii="Arial" w:hAnsi="Arial" w:cs="Arial"/>
          <w:bCs/>
          <w:color w:val="000080"/>
          <w:sz w:val="24"/>
        </w:rPr>
      </w:pPr>
    </w:p>
    <w:p w:rsidR="00EF7C10" w:rsidRDefault="00EF7C10">
      <w:pPr>
        <w:rPr>
          <w:rFonts w:ascii="Arial" w:hAnsi="Arial" w:cs="Arial"/>
          <w:bCs/>
          <w:color w:val="000080"/>
          <w:sz w:val="24"/>
        </w:rPr>
      </w:pPr>
    </w:p>
    <w:p w:rsidR="00FA4CC5" w:rsidRDefault="00FA4CC5">
      <w:pPr>
        <w:rPr>
          <w:rFonts w:ascii="Arial" w:hAnsi="Arial" w:cs="Arial"/>
          <w:bCs/>
          <w:color w:val="000080"/>
          <w:sz w:val="24"/>
        </w:rPr>
      </w:pPr>
    </w:p>
    <w:p w:rsidR="007C49A2" w:rsidRDefault="007C49A2">
      <w:pPr>
        <w:rPr>
          <w:rFonts w:ascii="Arial" w:hAnsi="Arial" w:cs="Arial"/>
          <w:bCs/>
          <w:color w:val="000080"/>
          <w:sz w:val="24"/>
        </w:rPr>
      </w:pPr>
    </w:p>
    <w:p w:rsidR="00FA4CC5" w:rsidRDefault="003552BC">
      <w:pPr>
        <w:pStyle w:val="xl50"/>
        <w:spacing w:before="0" w:beforeAutospacing="0" w:after="0" w:afterAutospacing="0"/>
        <w:rPr>
          <w:rFonts w:eastAsia="Times New Roman"/>
          <w:bCs w:val="0"/>
          <w:szCs w:val="20"/>
        </w:rPr>
      </w:pPr>
      <w:r>
        <w:rPr>
          <w:rFonts w:eastAsia="Times New Roman"/>
          <w:bCs w:val="0"/>
          <w:szCs w:val="20"/>
        </w:rPr>
        <w:lastRenderedPageBreak/>
        <w:t>3</w:t>
      </w:r>
      <w:r w:rsidR="00672827">
        <w:rPr>
          <w:rFonts w:eastAsia="Times New Roman"/>
          <w:bCs w:val="0"/>
          <w:szCs w:val="20"/>
        </w:rPr>
        <w:t>3</w:t>
      </w:r>
      <w:r>
        <w:rPr>
          <w:rFonts w:eastAsia="Times New Roman"/>
          <w:bCs w:val="0"/>
          <w:szCs w:val="20"/>
        </w:rPr>
        <w:t xml:space="preserve">     Short Term Creditors</w:t>
      </w:r>
    </w:p>
    <w:tbl>
      <w:tblPr>
        <w:tblW w:w="8100" w:type="dxa"/>
        <w:jc w:val="center"/>
        <w:tblInd w:w="93" w:type="dxa"/>
        <w:tblLook w:val="04A0" w:firstRow="1" w:lastRow="0" w:firstColumn="1" w:lastColumn="0" w:noHBand="0" w:noVBand="1"/>
      </w:tblPr>
      <w:tblGrid>
        <w:gridCol w:w="278"/>
        <w:gridCol w:w="1342"/>
        <w:gridCol w:w="388"/>
        <w:gridCol w:w="4520"/>
        <w:gridCol w:w="278"/>
        <w:gridCol w:w="1342"/>
        <w:gridCol w:w="278"/>
      </w:tblGrid>
      <w:tr w:rsidR="00FA4CC5" w:rsidRPr="00FA4CC5" w:rsidTr="00FA4CC5">
        <w:trPr>
          <w:trHeight w:val="300"/>
          <w:jc w:val="center"/>
        </w:trPr>
        <w:tc>
          <w:tcPr>
            <w:tcW w:w="220" w:type="dxa"/>
            <w:tcBorders>
              <w:top w:val="single" w:sz="4" w:space="0" w:color="auto"/>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single" w:sz="4" w:space="0" w:color="auto"/>
              <w:left w:val="nil"/>
              <w:bottom w:val="nil"/>
              <w:right w:val="nil"/>
            </w:tcBorders>
            <w:shd w:val="clear" w:color="auto" w:fill="auto"/>
            <w:noWrap/>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 </w:t>
            </w:r>
          </w:p>
        </w:tc>
        <w:tc>
          <w:tcPr>
            <w:tcW w:w="360" w:type="dxa"/>
            <w:tcBorders>
              <w:top w:val="single" w:sz="4" w:space="0" w:color="auto"/>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4520" w:type="dxa"/>
            <w:tcBorders>
              <w:top w:val="single" w:sz="4" w:space="0" w:color="auto"/>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160" w:type="dxa"/>
            <w:tcBorders>
              <w:top w:val="single" w:sz="4" w:space="0" w:color="auto"/>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1280" w:type="dxa"/>
            <w:tcBorders>
              <w:top w:val="single" w:sz="4" w:space="0" w:color="auto"/>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240" w:type="dxa"/>
            <w:tcBorders>
              <w:top w:val="single" w:sz="4" w:space="0" w:color="auto"/>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31 March</w:t>
            </w:r>
          </w:p>
        </w:tc>
        <w:tc>
          <w:tcPr>
            <w:tcW w:w="360" w:type="dxa"/>
            <w:tcBorders>
              <w:top w:val="nil"/>
              <w:left w:val="nil"/>
              <w:bottom w:val="nil"/>
              <w:right w:val="nil"/>
            </w:tcBorders>
            <w:shd w:val="clear" w:color="auto" w:fill="auto"/>
            <w:vAlign w:val="center"/>
            <w:hideMark/>
          </w:tcPr>
          <w:p w:rsidR="00FA4CC5" w:rsidRPr="00FA4CC5" w:rsidRDefault="00FA4CC5" w:rsidP="00FA4CC5">
            <w:pPr>
              <w:jc w:val="center"/>
              <w:rPr>
                <w:color w:val="000000"/>
                <w:sz w:val="22"/>
                <w:szCs w:val="22"/>
                <w:lang w:eastAsia="en-GB"/>
              </w:rPr>
            </w:pPr>
          </w:p>
        </w:tc>
        <w:tc>
          <w:tcPr>
            <w:tcW w:w="452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16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31 March</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2013</w:t>
            </w:r>
          </w:p>
        </w:tc>
        <w:tc>
          <w:tcPr>
            <w:tcW w:w="360" w:type="dxa"/>
            <w:tcBorders>
              <w:top w:val="nil"/>
              <w:left w:val="nil"/>
              <w:bottom w:val="nil"/>
              <w:right w:val="nil"/>
            </w:tcBorders>
            <w:shd w:val="clear" w:color="auto" w:fill="auto"/>
            <w:vAlign w:val="center"/>
            <w:hideMark/>
          </w:tcPr>
          <w:p w:rsidR="00FA4CC5" w:rsidRPr="00FA4CC5" w:rsidRDefault="00FA4CC5" w:rsidP="00FA4CC5">
            <w:pPr>
              <w:jc w:val="center"/>
              <w:rPr>
                <w:color w:val="000000"/>
                <w:sz w:val="22"/>
                <w:szCs w:val="22"/>
                <w:lang w:eastAsia="en-GB"/>
              </w:rPr>
            </w:pPr>
          </w:p>
        </w:tc>
        <w:tc>
          <w:tcPr>
            <w:tcW w:w="452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160" w:type="dxa"/>
            <w:tcBorders>
              <w:top w:val="nil"/>
              <w:left w:val="nil"/>
              <w:bottom w:val="nil"/>
              <w:right w:val="nil"/>
            </w:tcBorders>
            <w:shd w:val="clear" w:color="auto" w:fill="auto"/>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2014</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15"/>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single" w:sz="8" w:space="0" w:color="auto"/>
              <w:right w:val="nil"/>
            </w:tcBorders>
            <w:shd w:val="clear" w:color="auto" w:fill="auto"/>
            <w:noWrap/>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w:t>
            </w:r>
          </w:p>
        </w:tc>
        <w:tc>
          <w:tcPr>
            <w:tcW w:w="360" w:type="dxa"/>
            <w:tcBorders>
              <w:top w:val="nil"/>
              <w:left w:val="nil"/>
              <w:bottom w:val="single" w:sz="8" w:space="0" w:color="auto"/>
              <w:right w:val="nil"/>
            </w:tcBorders>
            <w:shd w:val="clear" w:color="auto" w:fill="auto"/>
            <w:noWrap/>
            <w:vAlign w:val="center"/>
            <w:hideMark/>
          </w:tcPr>
          <w:p w:rsidR="00FA4CC5" w:rsidRPr="00FA4CC5" w:rsidRDefault="00FA4CC5" w:rsidP="00FA4CC5">
            <w:pPr>
              <w:jc w:val="center"/>
              <w:rPr>
                <w:color w:val="000000"/>
                <w:sz w:val="22"/>
                <w:szCs w:val="22"/>
                <w:lang w:eastAsia="en-GB"/>
              </w:rPr>
            </w:pPr>
            <w:r w:rsidRPr="00FA4CC5">
              <w:rPr>
                <w:color w:val="000000"/>
                <w:sz w:val="22"/>
                <w:szCs w:val="22"/>
                <w:lang w:eastAsia="en-GB"/>
              </w:rPr>
              <w:t> </w:t>
            </w:r>
          </w:p>
        </w:tc>
        <w:tc>
          <w:tcPr>
            <w:tcW w:w="452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160" w:type="dxa"/>
            <w:tcBorders>
              <w:top w:val="nil"/>
              <w:left w:val="nil"/>
              <w:bottom w:val="single" w:sz="8" w:space="0" w:color="auto"/>
              <w:right w:val="nil"/>
            </w:tcBorders>
            <w:shd w:val="clear" w:color="auto" w:fill="auto"/>
            <w:noWrap/>
            <w:vAlign w:val="center"/>
            <w:hideMark/>
          </w:tcPr>
          <w:p w:rsidR="00FA4CC5" w:rsidRPr="00FA4CC5" w:rsidRDefault="00FA4CC5" w:rsidP="00FA4CC5">
            <w:pPr>
              <w:rPr>
                <w:color w:val="000000"/>
                <w:sz w:val="22"/>
                <w:szCs w:val="22"/>
                <w:lang w:eastAsia="en-GB"/>
              </w:rPr>
            </w:pPr>
            <w:r w:rsidRPr="00FA4CC5">
              <w:rPr>
                <w:color w:val="000000"/>
                <w:sz w:val="22"/>
                <w:szCs w:val="22"/>
                <w:lang w:eastAsia="en-GB"/>
              </w:rPr>
              <w:t> </w:t>
            </w:r>
          </w:p>
        </w:tc>
        <w:tc>
          <w:tcPr>
            <w:tcW w:w="1280" w:type="dxa"/>
            <w:tcBorders>
              <w:top w:val="nil"/>
              <w:left w:val="nil"/>
              <w:bottom w:val="single" w:sz="8" w:space="0" w:color="auto"/>
              <w:right w:val="nil"/>
            </w:tcBorders>
            <w:shd w:val="clear" w:color="auto" w:fill="auto"/>
            <w:noWrap/>
            <w:vAlign w:val="center"/>
            <w:hideMark/>
          </w:tcPr>
          <w:p w:rsidR="00FA4CC5" w:rsidRPr="00FA4CC5" w:rsidRDefault="00FA4CC5" w:rsidP="00FA4CC5">
            <w:pPr>
              <w:jc w:val="center"/>
              <w:rPr>
                <w:rFonts w:ascii="Arial" w:hAnsi="Arial" w:cs="Arial"/>
                <w:b/>
                <w:bCs/>
                <w:color w:val="000000"/>
                <w:sz w:val="22"/>
                <w:szCs w:val="22"/>
                <w:lang w:eastAsia="en-GB"/>
              </w:rPr>
            </w:pPr>
            <w:r w:rsidRPr="00FA4CC5">
              <w:rPr>
                <w:rFonts w:ascii="Arial" w:hAnsi="Arial" w:cs="Arial"/>
                <w:b/>
                <w:bCs/>
                <w:color w:val="000000"/>
                <w:sz w:val="22"/>
                <w:szCs w:val="22"/>
                <w:lang w:eastAsia="en-GB"/>
              </w:rPr>
              <w:t>£</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(1,278,829)</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Government Departments - other</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(657,078)</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Government Departments - Business Rates</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(88,064)</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xml:space="preserve">Council Tax </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(110,143)</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0</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Business Rates</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(471,776)</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(207,338)</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Housing Rents</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(640,752)</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(524,674)</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Cambridgeshire County Council</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(616,500)</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(11,638)</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680" w:type="dxa"/>
            <w:gridSpan w:val="2"/>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Cambridgeshire Police &amp; Crime Commissioner</w:t>
            </w: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(93,501)</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(4,476)</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680" w:type="dxa"/>
            <w:gridSpan w:val="2"/>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Cambridgeshire &amp; Peterborough Fire Authority</w:t>
            </w: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(33,358)</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(88,042)</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Cambridge City Council</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(14,301)</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(4,703,882)</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Sundry Creditors</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(4,143,789)</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(206,716)</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Provision</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(177,702)</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00"/>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(1,556,615)</w:t>
            </w: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w:t>
            </w: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Developers Contributions</w:t>
            </w: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jc w:val="right"/>
              <w:rPr>
                <w:rFonts w:ascii="Arial" w:hAnsi="Arial" w:cs="Arial"/>
                <w:color w:val="000000"/>
                <w:sz w:val="22"/>
                <w:szCs w:val="22"/>
                <w:lang w:eastAsia="en-GB"/>
              </w:rPr>
            </w:pPr>
            <w:r w:rsidRPr="00FA4CC5">
              <w:rPr>
                <w:rFonts w:ascii="Arial" w:hAnsi="Arial" w:cs="Arial"/>
                <w:color w:val="000000"/>
                <w:sz w:val="22"/>
                <w:szCs w:val="22"/>
                <w:lang w:eastAsia="en-GB"/>
              </w:rPr>
              <w:t>(2,156,405)</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15"/>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3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452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60" w:type="dxa"/>
            <w:tcBorders>
              <w:top w:val="nil"/>
              <w:left w:val="nil"/>
              <w:bottom w:val="nil"/>
              <w:right w:val="nil"/>
            </w:tcBorders>
            <w:shd w:val="clear" w:color="auto" w:fill="auto"/>
            <w:noWrap/>
            <w:vAlign w:val="center"/>
            <w:hideMark/>
          </w:tcPr>
          <w:p w:rsidR="00FA4CC5" w:rsidRPr="00FA4CC5" w:rsidRDefault="00FA4CC5" w:rsidP="00FA4CC5">
            <w:pPr>
              <w:rPr>
                <w:color w:val="000000"/>
                <w:sz w:val="22"/>
                <w:szCs w:val="22"/>
                <w:lang w:eastAsia="en-GB"/>
              </w:rPr>
            </w:pPr>
          </w:p>
        </w:tc>
        <w:tc>
          <w:tcPr>
            <w:tcW w:w="1280" w:type="dxa"/>
            <w:tcBorders>
              <w:top w:val="nil"/>
              <w:left w:val="nil"/>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315"/>
          <w:jc w:val="center"/>
        </w:trPr>
        <w:tc>
          <w:tcPr>
            <w:tcW w:w="220" w:type="dxa"/>
            <w:tcBorders>
              <w:top w:val="nil"/>
              <w:left w:val="single" w:sz="4" w:space="0" w:color="auto"/>
              <w:bottom w:val="nil"/>
              <w:right w:val="nil"/>
            </w:tcBorders>
            <w:shd w:val="clear" w:color="auto" w:fill="auto"/>
            <w:noWrap/>
            <w:vAlign w:val="center"/>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jc w:val="right"/>
              <w:rPr>
                <w:rFonts w:ascii="Arial" w:hAnsi="Arial" w:cs="Arial"/>
                <w:b/>
                <w:bCs/>
                <w:color w:val="000000"/>
                <w:sz w:val="22"/>
                <w:szCs w:val="22"/>
                <w:lang w:eastAsia="en-GB"/>
              </w:rPr>
            </w:pPr>
            <w:r w:rsidRPr="00FA4CC5">
              <w:rPr>
                <w:rFonts w:ascii="Arial" w:hAnsi="Arial" w:cs="Arial"/>
                <w:b/>
                <w:bCs/>
                <w:color w:val="000000"/>
                <w:sz w:val="22"/>
                <w:szCs w:val="22"/>
                <w:lang w:eastAsia="en-GB"/>
              </w:rPr>
              <w:t>(8,670,274)</w:t>
            </w:r>
          </w:p>
        </w:tc>
        <w:tc>
          <w:tcPr>
            <w:tcW w:w="36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 </w:t>
            </w:r>
          </w:p>
        </w:tc>
        <w:tc>
          <w:tcPr>
            <w:tcW w:w="452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 xml:space="preserve">Total Creditors </w:t>
            </w:r>
          </w:p>
        </w:tc>
        <w:tc>
          <w:tcPr>
            <w:tcW w:w="16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rPr>
                <w:rFonts w:ascii="Arial" w:hAnsi="Arial" w:cs="Arial"/>
                <w:b/>
                <w:bCs/>
                <w:color w:val="000000"/>
                <w:sz w:val="22"/>
                <w:szCs w:val="22"/>
                <w:lang w:eastAsia="en-GB"/>
              </w:rPr>
            </w:pPr>
            <w:r w:rsidRPr="00FA4CC5">
              <w:rPr>
                <w:rFonts w:ascii="Arial" w:hAnsi="Arial" w:cs="Arial"/>
                <w:b/>
                <w:bCs/>
                <w:color w:val="000000"/>
                <w:sz w:val="22"/>
                <w:szCs w:val="22"/>
                <w:lang w:eastAsia="en-GB"/>
              </w:rPr>
              <w:t> </w:t>
            </w:r>
          </w:p>
        </w:tc>
        <w:tc>
          <w:tcPr>
            <w:tcW w:w="1280" w:type="dxa"/>
            <w:tcBorders>
              <w:top w:val="single" w:sz="8" w:space="0" w:color="auto"/>
              <w:left w:val="nil"/>
              <w:bottom w:val="single" w:sz="8" w:space="0" w:color="auto"/>
              <w:right w:val="nil"/>
            </w:tcBorders>
            <w:shd w:val="clear" w:color="auto" w:fill="auto"/>
            <w:noWrap/>
            <w:vAlign w:val="center"/>
            <w:hideMark/>
          </w:tcPr>
          <w:p w:rsidR="00FA4CC5" w:rsidRPr="00FA4CC5" w:rsidRDefault="00FA4CC5" w:rsidP="00FA4CC5">
            <w:pPr>
              <w:jc w:val="right"/>
              <w:rPr>
                <w:rFonts w:ascii="Arial" w:hAnsi="Arial" w:cs="Arial"/>
                <w:b/>
                <w:bCs/>
                <w:color w:val="000000"/>
                <w:sz w:val="22"/>
                <w:szCs w:val="22"/>
                <w:lang w:eastAsia="en-GB"/>
              </w:rPr>
            </w:pPr>
            <w:r w:rsidRPr="00FA4CC5">
              <w:rPr>
                <w:rFonts w:ascii="Arial" w:hAnsi="Arial" w:cs="Arial"/>
                <w:b/>
                <w:bCs/>
                <w:color w:val="000000"/>
                <w:sz w:val="22"/>
                <w:szCs w:val="22"/>
                <w:lang w:eastAsia="en-GB"/>
              </w:rPr>
              <w:t>(9,115,305)</w:t>
            </w:r>
          </w:p>
        </w:tc>
        <w:tc>
          <w:tcPr>
            <w:tcW w:w="240" w:type="dxa"/>
            <w:tcBorders>
              <w:top w:val="nil"/>
              <w:left w:val="nil"/>
              <w:bottom w:val="nil"/>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r w:rsidR="00FA4CC5" w:rsidRPr="00FA4CC5" w:rsidTr="00FA4CC5">
        <w:trPr>
          <w:trHeight w:val="285"/>
          <w:jc w:val="center"/>
        </w:trPr>
        <w:tc>
          <w:tcPr>
            <w:tcW w:w="220" w:type="dxa"/>
            <w:tcBorders>
              <w:top w:val="nil"/>
              <w:left w:val="single" w:sz="4" w:space="0" w:color="auto"/>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32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36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452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6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1280" w:type="dxa"/>
            <w:tcBorders>
              <w:top w:val="nil"/>
              <w:left w:val="nil"/>
              <w:bottom w:val="single" w:sz="4" w:space="0" w:color="auto"/>
              <w:right w:val="nil"/>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c>
          <w:tcPr>
            <w:tcW w:w="240" w:type="dxa"/>
            <w:tcBorders>
              <w:top w:val="nil"/>
              <w:left w:val="nil"/>
              <w:bottom w:val="single" w:sz="4" w:space="0" w:color="auto"/>
              <w:right w:val="single" w:sz="4" w:space="0" w:color="auto"/>
            </w:tcBorders>
            <w:shd w:val="clear" w:color="auto" w:fill="auto"/>
            <w:noWrap/>
            <w:vAlign w:val="bottom"/>
            <w:hideMark/>
          </w:tcPr>
          <w:p w:rsidR="00FA4CC5" w:rsidRPr="00FA4CC5" w:rsidRDefault="00FA4CC5" w:rsidP="00FA4CC5">
            <w:pPr>
              <w:rPr>
                <w:rFonts w:ascii="Arial" w:hAnsi="Arial" w:cs="Arial"/>
                <w:color w:val="000000"/>
                <w:sz w:val="22"/>
                <w:szCs w:val="22"/>
                <w:lang w:eastAsia="en-GB"/>
              </w:rPr>
            </w:pPr>
            <w:r w:rsidRPr="00FA4CC5">
              <w:rPr>
                <w:rFonts w:ascii="Arial" w:hAnsi="Arial" w:cs="Arial"/>
                <w:color w:val="000000"/>
                <w:sz w:val="22"/>
                <w:szCs w:val="22"/>
                <w:lang w:eastAsia="en-GB"/>
              </w:rPr>
              <w:t> </w:t>
            </w:r>
          </w:p>
        </w:tc>
      </w:tr>
    </w:tbl>
    <w:p w:rsidR="00B52297" w:rsidRDefault="00B52297">
      <w:pPr>
        <w:rPr>
          <w:rFonts w:ascii="Arial" w:hAnsi="Arial" w:cs="Arial"/>
          <w:bCs/>
          <w:color w:val="000080"/>
          <w:sz w:val="24"/>
        </w:rPr>
      </w:pPr>
    </w:p>
    <w:p w:rsidR="00F23FFF" w:rsidRDefault="003552BC">
      <w:pPr>
        <w:rPr>
          <w:rFonts w:ascii="Arial" w:hAnsi="Arial" w:cs="Arial"/>
          <w:bCs/>
          <w:color w:val="000080"/>
          <w:sz w:val="24"/>
        </w:rPr>
      </w:pPr>
      <w:r>
        <w:rPr>
          <w:rFonts w:ascii="Arial" w:hAnsi="Arial" w:cs="Arial"/>
          <w:bCs/>
          <w:color w:val="000080"/>
          <w:sz w:val="24"/>
        </w:rPr>
        <w:t>Developer’s contributions</w:t>
      </w:r>
    </w:p>
    <w:p w:rsidR="00B52297" w:rsidRDefault="003552BC" w:rsidP="001C6A9D">
      <w:pPr>
        <w:pStyle w:val="xl65"/>
        <w:spacing w:before="0" w:beforeAutospacing="0" w:after="0" w:afterAutospacing="0"/>
        <w:rPr>
          <w:rFonts w:eastAsia="Times New Roman"/>
          <w:bCs/>
          <w:szCs w:val="20"/>
        </w:rPr>
      </w:pPr>
      <w:r>
        <w:rPr>
          <w:rFonts w:eastAsia="Times New Roman"/>
          <w:bCs/>
          <w:szCs w:val="20"/>
        </w:rPr>
        <w:t>**Developers’ contributions are monies received from developers under section 106 of the Town and Country Planning Act 1990 which contribute to the infrastructure costs for drainage and to community arts and development and are detailed below:</w:t>
      </w:r>
    </w:p>
    <w:p w:rsidR="00F745FB" w:rsidRPr="001C6A9D" w:rsidRDefault="00F745FB" w:rsidP="001C6A9D">
      <w:pPr>
        <w:pStyle w:val="xl65"/>
        <w:spacing w:before="0" w:beforeAutospacing="0" w:after="0" w:afterAutospacing="0"/>
        <w:rPr>
          <w:rFonts w:eastAsia="Times New Roman"/>
          <w:bCs/>
          <w:szCs w:val="20"/>
        </w:rPr>
      </w:pPr>
    </w:p>
    <w:p w:rsidR="00F23FFF" w:rsidRDefault="00096A4D" w:rsidP="00096A4D">
      <w:pPr>
        <w:pStyle w:val="xl50"/>
        <w:tabs>
          <w:tab w:val="left" w:pos="567"/>
        </w:tabs>
        <w:spacing w:before="0" w:beforeAutospacing="0" w:after="0" w:afterAutospacing="0"/>
        <w:jc w:val="center"/>
        <w:rPr>
          <w:rFonts w:eastAsia="Times New Roman"/>
          <w:bCs w:val="0"/>
          <w:szCs w:val="20"/>
        </w:rPr>
      </w:pPr>
      <w:r w:rsidRPr="00096A4D">
        <w:rPr>
          <w:noProof/>
          <w:lang w:eastAsia="en-GB"/>
        </w:rPr>
        <w:drawing>
          <wp:inline distT="0" distB="0" distL="0" distR="0" wp14:anchorId="3812F30C" wp14:editId="4A02E242">
            <wp:extent cx="5715307" cy="398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1766" cy="3985949"/>
                    </a:xfrm>
                    <a:prstGeom prst="rect">
                      <a:avLst/>
                    </a:prstGeom>
                    <a:noFill/>
                    <a:ln>
                      <a:noFill/>
                    </a:ln>
                  </pic:spPr>
                </pic:pic>
              </a:graphicData>
            </a:graphic>
          </wp:inline>
        </w:drawing>
      </w:r>
    </w:p>
    <w:p w:rsidR="00096A4D" w:rsidRDefault="00096A4D">
      <w:pPr>
        <w:pStyle w:val="xl50"/>
        <w:tabs>
          <w:tab w:val="left" w:pos="567"/>
        </w:tabs>
        <w:spacing w:before="0" w:beforeAutospacing="0" w:after="0" w:afterAutospacing="0"/>
        <w:rPr>
          <w:rFonts w:eastAsia="Times New Roman"/>
          <w:bCs w:val="0"/>
          <w:szCs w:val="20"/>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t>3</w:t>
      </w:r>
      <w:r w:rsidR="00672827">
        <w:rPr>
          <w:rFonts w:eastAsia="Times New Roman"/>
          <w:bCs w:val="0"/>
          <w:szCs w:val="20"/>
        </w:rPr>
        <w:t>4</w:t>
      </w:r>
      <w:r>
        <w:rPr>
          <w:rFonts w:eastAsia="Times New Roman"/>
          <w:bCs w:val="0"/>
          <w:szCs w:val="20"/>
        </w:rPr>
        <w:t xml:space="preserve">   Provisions    </w:t>
      </w:r>
    </w:p>
    <w:p w:rsidR="00F23FFF" w:rsidRDefault="00F23FFF">
      <w:pPr>
        <w:rPr>
          <w:rFonts w:ascii="Arial" w:hAnsi="Arial" w:cs="Arial"/>
          <w:bCs/>
          <w:color w:val="000080"/>
          <w:sz w:val="24"/>
        </w:rPr>
      </w:pPr>
    </w:p>
    <w:p w:rsidR="005F0604" w:rsidRPr="005F0604" w:rsidRDefault="003552BC" w:rsidP="005F0604">
      <w:pPr>
        <w:pStyle w:val="font6"/>
        <w:spacing w:before="0" w:beforeAutospacing="0" w:after="0" w:afterAutospacing="0"/>
        <w:rPr>
          <w:color w:val="auto"/>
        </w:rPr>
      </w:pPr>
      <w:r w:rsidRPr="005F0604">
        <w:rPr>
          <w:color w:val="auto"/>
        </w:rPr>
        <w:t>Provisions included in the balance sheet consist of provisions for bad and doubtful debts</w:t>
      </w:r>
      <w:r w:rsidR="00580A46" w:rsidRPr="005F0604">
        <w:rPr>
          <w:color w:val="auto"/>
        </w:rPr>
        <w:t xml:space="preserve">, </w:t>
      </w:r>
      <w:r w:rsidRPr="005F0604">
        <w:rPr>
          <w:color w:val="auto"/>
        </w:rPr>
        <w:t>which ha</w:t>
      </w:r>
      <w:r w:rsidR="00AC66B8">
        <w:rPr>
          <w:color w:val="auto"/>
        </w:rPr>
        <w:t>ve been netted off debtors and</w:t>
      </w:r>
      <w:r w:rsidR="005F0604" w:rsidRPr="005F0604">
        <w:rPr>
          <w:color w:val="auto"/>
        </w:rPr>
        <w:t xml:space="preserve"> </w:t>
      </w:r>
      <w:r w:rsidRPr="005F0604">
        <w:rPr>
          <w:color w:val="auto"/>
        </w:rPr>
        <w:t>Accumulated Compensated Absences of £</w:t>
      </w:r>
      <w:r w:rsidR="00096A4D" w:rsidRPr="005F0604">
        <w:rPr>
          <w:color w:val="auto"/>
        </w:rPr>
        <w:t>221,318</w:t>
      </w:r>
      <w:r w:rsidRPr="005F0604">
        <w:rPr>
          <w:color w:val="auto"/>
        </w:rPr>
        <w:t xml:space="preserve"> as shown in the Balance Sheet and </w:t>
      </w:r>
      <w:r w:rsidR="005F0604" w:rsidRPr="005F0604">
        <w:rPr>
          <w:color w:val="auto"/>
        </w:rPr>
        <w:t xml:space="preserve">Note12. </w:t>
      </w:r>
    </w:p>
    <w:p w:rsidR="005F0604" w:rsidRDefault="005F0604" w:rsidP="005F0604">
      <w:pPr>
        <w:pStyle w:val="font6"/>
        <w:spacing w:before="0" w:beforeAutospacing="0" w:after="0" w:afterAutospacing="0"/>
        <w:rPr>
          <w:color w:val="auto"/>
        </w:rPr>
      </w:pPr>
      <w:r w:rsidRPr="005F0604">
        <w:rPr>
          <w:color w:val="auto"/>
        </w:rPr>
        <w:t xml:space="preserve">New arrangements </w:t>
      </w:r>
      <w:r>
        <w:rPr>
          <w:color w:val="auto"/>
        </w:rPr>
        <w:t>for the retention of business rates came into effect on 1 April 2013, at which time the Council assumed liability for refunding ratepayers who have successfully appealed against the rateable value of their properties on the rating list, which will include amounts that were paid over to central Government in respect of 2012-13 and prior years. A provision for these liabilities has been recognised in the 2013-14 accounts.</w:t>
      </w:r>
    </w:p>
    <w:p w:rsidR="00F23FFF" w:rsidRDefault="00F23FFF">
      <w:pPr>
        <w:ind w:left="426"/>
        <w:rPr>
          <w:rFonts w:ascii="Arial" w:hAnsi="Arial" w:cs="Arial"/>
          <w:bCs/>
          <w:color w:val="000080"/>
          <w:sz w:val="24"/>
        </w:rPr>
      </w:pPr>
    </w:p>
    <w:p w:rsidR="00F23FFF" w:rsidRDefault="00F23FFF">
      <w:pPr>
        <w:rPr>
          <w:rFonts w:ascii="Arial" w:hAnsi="Arial" w:cs="Arial"/>
          <w:bCs/>
          <w:color w:val="000080"/>
          <w:sz w:val="24"/>
        </w:rPr>
      </w:pPr>
    </w:p>
    <w:p w:rsidR="00F23FFF" w:rsidRDefault="003552BC">
      <w:pPr>
        <w:tabs>
          <w:tab w:val="left" w:pos="567"/>
        </w:tabs>
        <w:rPr>
          <w:rFonts w:ascii="Arial" w:hAnsi="Arial" w:cs="Arial"/>
          <w:b/>
          <w:color w:val="FF0000"/>
          <w:sz w:val="24"/>
        </w:rPr>
      </w:pPr>
      <w:r>
        <w:rPr>
          <w:rFonts w:ascii="Arial" w:hAnsi="Arial" w:cs="Arial"/>
          <w:b/>
          <w:color w:val="000080"/>
          <w:sz w:val="24"/>
        </w:rPr>
        <w:t>3</w:t>
      </w:r>
      <w:r w:rsidR="00672827">
        <w:rPr>
          <w:rFonts w:ascii="Arial" w:hAnsi="Arial" w:cs="Arial"/>
          <w:b/>
          <w:color w:val="000080"/>
          <w:sz w:val="24"/>
        </w:rPr>
        <w:t>5</w:t>
      </w:r>
      <w:r>
        <w:rPr>
          <w:rFonts w:ascii="Arial" w:hAnsi="Arial" w:cs="Arial"/>
          <w:b/>
          <w:color w:val="000080"/>
          <w:sz w:val="24"/>
        </w:rPr>
        <w:t xml:space="preserve">    Contingent Liabilities</w:t>
      </w:r>
      <w:r>
        <w:rPr>
          <w:rFonts w:ascii="Arial" w:hAnsi="Arial" w:cs="Arial"/>
          <w:b/>
          <w:color w:val="FF0000"/>
          <w:sz w:val="24"/>
        </w:rPr>
        <w:t xml:space="preserve">  </w:t>
      </w:r>
    </w:p>
    <w:p w:rsidR="00F23FFF" w:rsidRDefault="00F23FFF">
      <w:pPr>
        <w:rPr>
          <w:rFonts w:ascii="Arial" w:hAnsi="Arial" w:cs="Arial"/>
          <w:bCs/>
          <w:color w:val="000080"/>
          <w:sz w:val="24"/>
        </w:rPr>
      </w:pPr>
    </w:p>
    <w:p w:rsidR="00F23FFF" w:rsidRDefault="003552BC">
      <w:pPr>
        <w:ind w:left="567"/>
        <w:rPr>
          <w:rFonts w:ascii="Arial" w:hAnsi="Arial" w:cs="Arial"/>
          <w:sz w:val="22"/>
        </w:rPr>
      </w:pPr>
      <w:r>
        <w:rPr>
          <w:rFonts w:ascii="Arial" w:hAnsi="Arial" w:cs="Arial"/>
          <w:sz w:val="22"/>
        </w:rPr>
        <w:t>Contingent liabilities as at the balance sheet date include:</w:t>
      </w:r>
    </w:p>
    <w:p w:rsidR="00F23FFF" w:rsidRDefault="00F23FFF">
      <w:pPr>
        <w:ind w:left="567"/>
        <w:rPr>
          <w:rFonts w:ascii="Arial" w:hAnsi="Arial" w:cs="Arial"/>
          <w:sz w:val="22"/>
        </w:rPr>
      </w:pPr>
    </w:p>
    <w:p w:rsidR="001320F0" w:rsidRPr="001320F0" w:rsidRDefault="003552BC">
      <w:pPr>
        <w:numPr>
          <w:ilvl w:val="2"/>
          <w:numId w:val="19"/>
        </w:numPr>
        <w:tabs>
          <w:tab w:val="clear" w:pos="2340"/>
          <w:tab w:val="num" w:pos="1134"/>
        </w:tabs>
        <w:autoSpaceDE w:val="0"/>
        <w:autoSpaceDN w:val="0"/>
        <w:adjustRightInd w:val="0"/>
        <w:ind w:left="1134" w:hanging="283"/>
        <w:rPr>
          <w:rFonts w:ascii="Arial" w:hAnsi="Arial" w:cs="Arial"/>
          <w:sz w:val="22"/>
        </w:rPr>
      </w:pPr>
      <w:proofErr w:type="gramStart"/>
      <w:r>
        <w:rPr>
          <w:rFonts w:ascii="Arial" w:hAnsi="Arial" w:cs="Arial"/>
          <w:sz w:val="22"/>
          <w:lang w:val="en-US"/>
        </w:rPr>
        <w:t>the</w:t>
      </w:r>
      <w:proofErr w:type="gramEnd"/>
      <w:r>
        <w:rPr>
          <w:rFonts w:ascii="Arial" w:hAnsi="Arial" w:cs="Arial"/>
          <w:sz w:val="22"/>
          <w:lang w:val="en-US"/>
        </w:rPr>
        <w:t xml:space="preserve"> Council has an equity share scheme for the elderly under which Council owns part shares in </w:t>
      </w:r>
      <w:r w:rsidRPr="00AE4533">
        <w:rPr>
          <w:rFonts w:ascii="Arial" w:hAnsi="Arial" w:cs="Arial"/>
          <w:sz w:val="22"/>
          <w:lang w:val="en-US"/>
        </w:rPr>
        <w:t xml:space="preserve">approximately </w:t>
      </w:r>
      <w:r w:rsidR="00F028FC" w:rsidRPr="00AE4533">
        <w:rPr>
          <w:rFonts w:ascii="Arial" w:hAnsi="Arial" w:cs="Arial"/>
          <w:sz w:val="22"/>
          <w:lang w:val="en-US"/>
        </w:rPr>
        <w:t>29</w:t>
      </w:r>
      <w:r w:rsidR="00AE4533" w:rsidRPr="00AE4533">
        <w:rPr>
          <w:rFonts w:ascii="Arial" w:hAnsi="Arial" w:cs="Arial"/>
          <w:sz w:val="22"/>
          <w:lang w:val="en-US"/>
        </w:rPr>
        <w:t>6</w:t>
      </w:r>
      <w:r w:rsidR="00A765F0">
        <w:rPr>
          <w:rFonts w:ascii="Arial" w:hAnsi="Arial" w:cs="Arial"/>
          <w:sz w:val="22"/>
          <w:lang w:val="en-US"/>
        </w:rPr>
        <w:t xml:space="preserve"> </w:t>
      </w:r>
      <w:r>
        <w:rPr>
          <w:rFonts w:ascii="Arial" w:hAnsi="Arial" w:cs="Arial"/>
          <w:sz w:val="22"/>
          <w:lang w:val="en-US"/>
        </w:rPr>
        <w:t xml:space="preserve">properties. The terms of the leases include an obligation for the Council to buy back the equity share upon surrender by the tenant or his/her executors. There are also other equity share schemes covering approximately </w:t>
      </w:r>
      <w:r w:rsidR="00A765F0">
        <w:rPr>
          <w:rFonts w:ascii="Arial" w:hAnsi="Arial" w:cs="Arial"/>
          <w:sz w:val="22"/>
          <w:lang w:val="en-US"/>
        </w:rPr>
        <w:t>7</w:t>
      </w:r>
      <w:r w:rsidR="00AE4533">
        <w:rPr>
          <w:rFonts w:ascii="Arial" w:hAnsi="Arial" w:cs="Arial"/>
          <w:sz w:val="22"/>
          <w:lang w:val="en-US"/>
        </w:rPr>
        <w:t>3</w:t>
      </w:r>
      <w:r>
        <w:rPr>
          <w:rFonts w:ascii="Arial" w:hAnsi="Arial" w:cs="Arial"/>
          <w:sz w:val="22"/>
          <w:lang w:val="en-US"/>
        </w:rPr>
        <w:t xml:space="preserve"> properties where a similar obligation exists. The Council would then look to resell the properties under the equity share schemes so that the in and out transactions would have had an approximately nil financial effect. </w:t>
      </w:r>
    </w:p>
    <w:p w:rsidR="001320F0" w:rsidRPr="001320F0" w:rsidRDefault="001320F0" w:rsidP="00096A4D">
      <w:pPr>
        <w:autoSpaceDE w:val="0"/>
        <w:autoSpaceDN w:val="0"/>
        <w:adjustRightInd w:val="0"/>
        <w:rPr>
          <w:rFonts w:ascii="Arial" w:hAnsi="Arial" w:cs="Arial"/>
          <w:sz w:val="22"/>
        </w:rPr>
      </w:pPr>
    </w:p>
    <w:p w:rsidR="00F23FFF" w:rsidRDefault="00EB04D8" w:rsidP="001320F0">
      <w:pPr>
        <w:autoSpaceDE w:val="0"/>
        <w:autoSpaceDN w:val="0"/>
        <w:adjustRightInd w:val="0"/>
        <w:ind w:left="1134"/>
        <w:rPr>
          <w:rFonts w:ascii="Arial" w:hAnsi="Arial" w:cs="Arial"/>
          <w:sz w:val="22"/>
        </w:rPr>
      </w:pPr>
      <w:r>
        <w:rPr>
          <w:rFonts w:ascii="Arial" w:hAnsi="Arial" w:cs="Arial"/>
          <w:sz w:val="22"/>
          <w:lang w:val="en-US"/>
        </w:rPr>
        <w:t>During 2010-</w:t>
      </w:r>
      <w:r w:rsidR="003552BC">
        <w:rPr>
          <w:rFonts w:ascii="Arial" w:hAnsi="Arial" w:cs="Arial"/>
          <w:sz w:val="22"/>
          <w:lang w:val="en-US"/>
        </w:rPr>
        <w:t>11, 213 properties were transfer</w:t>
      </w:r>
      <w:r w:rsidR="007C31BA">
        <w:rPr>
          <w:rFonts w:ascii="Arial" w:hAnsi="Arial" w:cs="Arial"/>
          <w:sz w:val="22"/>
          <w:lang w:val="en-US"/>
        </w:rPr>
        <w:t>red from the Housing R</w:t>
      </w:r>
      <w:r w:rsidR="003552BC">
        <w:rPr>
          <w:rFonts w:ascii="Arial" w:hAnsi="Arial" w:cs="Arial"/>
          <w:sz w:val="22"/>
          <w:lang w:val="en-US"/>
        </w:rPr>
        <w:t>evenue Account to the General Fund. Any potential liability relates to the remaining properties in the Housing Revenue Account and cannot be quantified at this time;</w:t>
      </w:r>
    </w:p>
    <w:p w:rsidR="00D23E72" w:rsidRPr="004A41DB" w:rsidRDefault="00D23E72" w:rsidP="004A41DB">
      <w:pPr>
        <w:rPr>
          <w:rFonts w:ascii="Arial" w:hAnsi="Arial" w:cs="Arial"/>
          <w:sz w:val="22"/>
        </w:rPr>
      </w:pPr>
    </w:p>
    <w:p w:rsidR="00EF7C10" w:rsidRPr="00432903" w:rsidRDefault="00EF7C10" w:rsidP="00432903">
      <w:pPr>
        <w:rPr>
          <w:rFonts w:ascii="Arial" w:hAnsi="Arial" w:cs="Arial"/>
          <w:sz w:val="22"/>
        </w:rPr>
      </w:pPr>
    </w:p>
    <w:p w:rsidR="00432903" w:rsidRPr="00AE4533" w:rsidRDefault="00EF7C10" w:rsidP="00B52297">
      <w:pPr>
        <w:pStyle w:val="ListParagraph"/>
        <w:numPr>
          <w:ilvl w:val="2"/>
          <w:numId w:val="19"/>
        </w:numPr>
        <w:tabs>
          <w:tab w:val="clear" w:pos="2340"/>
          <w:tab w:val="num" w:pos="1134"/>
        </w:tabs>
        <w:ind w:left="1134" w:hanging="283"/>
        <w:rPr>
          <w:rFonts w:ascii="Arial" w:hAnsi="Arial" w:cs="Arial"/>
          <w:sz w:val="22"/>
        </w:rPr>
      </w:pPr>
      <w:r>
        <w:rPr>
          <w:rFonts w:ascii="Arial" w:hAnsi="Arial" w:cs="Arial"/>
          <w:sz w:val="22"/>
        </w:rPr>
        <w:t>The Council is a defendant in pro</w:t>
      </w:r>
      <w:r w:rsidR="00E15297">
        <w:rPr>
          <w:rFonts w:ascii="Arial" w:hAnsi="Arial" w:cs="Arial"/>
          <w:sz w:val="22"/>
        </w:rPr>
        <w:t>ceedings brought by a group of property search c</w:t>
      </w:r>
      <w:r>
        <w:rPr>
          <w:rFonts w:ascii="Arial" w:hAnsi="Arial" w:cs="Arial"/>
          <w:sz w:val="22"/>
        </w:rPr>
        <w:t>ompanies for refunds of fees paid to the Council to access land charges data. In the current litigation the Council face</w:t>
      </w:r>
      <w:r w:rsidR="00B309EF">
        <w:rPr>
          <w:rFonts w:ascii="Arial" w:hAnsi="Arial" w:cs="Arial"/>
          <w:sz w:val="22"/>
        </w:rPr>
        <w:t>s a claim</w:t>
      </w:r>
      <w:r w:rsidR="00E15297">
        <w:rPr>
          <w:rFonts w:ascii="Arial" w:hAnsi="Arial" w:cs="Arial"/>
          <w:sz w:val="22"/>
        </w:rPr>
        <w:t xml:space="preserve"> </w:t>
      </w:r>
      <w:r w:rsidR="00B309EF">
        <w:rPr>
          <w:rFonts w:ascii="Arial" w:hAnsi="Arial" w:cs="Arial"/>
          <w:sz w:val="22"/>
        </w:rPr>
        <w:t>of approximately</w:t>
      </w:r>
      <w:r>
        <w:rPr>
          <w:rFonts w:ascii="Arial" w:hAnsi="Arial" w:cs="Arial"/>
          <w:sz w:val="22"/>
        </w:rPr>
        <w:t xml:space="preserve"> £</w:t>
      </w:r>
      <w:r w:rsidR="004A41DB">
        <w:rPr>
          <w:rFonts w:ascii="Arial" w:hAnsi="Arial" w:cs="Arial"/>
          <w:sz w:val="22"/>
        </w:rPr>
        <w:t>135,861</w:t>
      </w:r>
      <w:r w:rsidR="00B309EF">
        <w:rPr>
          <w:rFonts w:ascii="Arial" w:hAnsi="Arial" w:cs="Arial"/>
          <w:sz w:val="22"/>
        </w:rPr>
        <w:t xml:space="preserve"> plus interest and costs. This</w:t>
      </w:r>
      <w:r>
        <w:rPr>
          <w:rFonts w:ascii="Arial" w:hAnsi="Arial" w:cs="Arial"/>
          <w:sz w:val="22"/>
        </w:rPr>
        <w:t xml:space="preserve"> group of property search companies have also intimated that they may bring a claim against all English and Welsh local authorities for alleged anti-competitive behaviour. It is not clear what the value of any such claim would be against the Council. It is possible that additional claimants may come forward to submit claims for refunds, but non</w:t>
      </w:r>
      <w:r w:rsidR="00E15297">
        <w:rPr>
          <w:rFonts w:ascii="Arial" w:hAnsi="Arial" w:cs="Arial"/>
          <w:sz w:val="22"/>
        </w:rPr>
        <w:t>e</w:t>
      </w:r>
      <w:r>
        <w:rPr>
          <w:rFonts w:ascii="Arial" w:hAnsi="Arial" w:cs="Arial"/>
          <w:sz w:val="22"/>
        </w:rPr>
        <w:t xml:space="preserve"> have been intimated at present.</w:t>
      </w:r>
    </w:p>
    <w:p w:rsidR="00432903" w:rsidRDefault="00432903"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0A55EE" w:rsidRDefault="000A55EE" w:rsidP="00B52297">
      <w:pPr>
        <w:rPr>
          <w:rFonts w:ascii="Arial" w:hAnsi="Arial" w:cs="Arial"/>
          <w:sz w:val="22"/>
        </w:rPr>
      </w:pPr>
    </w:p>
    <w:p w:rsidR="005F0604" w:rsidRPr="00B52297" w:rsidRDefault="005F0604" w:rsidP="00B52297">
      <w:pPr>
        <w:rPr>
          <w:rFonts w:ascii="Arial" w:hAnsi="Arial" w:cs="Arial"/>
          <w:sz w:val="22"/>
        </w:rPr>
      </w:pPr>
    </w:p>
    <w:p w:rsidR="00F23FFF" w:rsidRDefault="003552BC" w:rsidP="00672827">
      <w:pPr>
        <w:pStyle w:val="xl50"/>
        <w:numPr>
          <w:ilvl w:val="0"/>
          <w:numId w:val="28"/>
        </w:numPr>
        <w:tabs>
          <w:tab w:val="left" w:pos="567"/>
        </w:tabs>
        <w:spacing w:before="0" w:beforeAutospacing="0" w:after="0" w:afterAutospacing="0"/>
        <w:ind w:hanging="928"/>
        <w:rPr>
          <w:rFonts w:eastAsia="Times New Roman"/>
          <w:bCs w:val="0"/>
          <w:szCs w:val="20"/>
        </w:rPr>
      </w:pPr>
      <w:r>
        <w:rPr>
          <w:rFonts w:eastAsia="Times New Roman"/>
          <w:bCs w:val="0"/>
          <w:szCs w:val="20"/>
        </w:rPr>
        <w:lastRenderedPageBreak/>
        <w:t>Grant Income</w:t>
      </w:r>
    </w:p>
    <w:p w:rsidR="00F23FFF" w:rsidRDefault="00E15297" w:rsidP="00E15297">
      <w:pPr>
        <w:pStyle w:val="xl50"/>
        <w:tabs>
          <w:tab w:val="left" w:pos="567"/>
        </w:tabs>
        <w:spacing w:before="0" w:beforeAutospacing="0" w:after="0" w:afterAutospacing="0"/>
        <w:ind w:left="567"/>
        <w:rPr>
          <w:rFonts w:eastAsia="Times New Roman"/>
          <w:bCs w:val="0"/>
          <w:szCs w:val="20"/>
        </w:rPr>
      </w:pPr>
      <w:r>
        <w:rPr>
          <w:rFonts w:eastAsia="Times New Roman"/>
          <w:b w:val="0"/>
          <w:color w:val="auto"/>
          <w:sz w:val="22"/>
          <w:szCs w:val="20"/>
        </w:rPr>
        <w:t xml:space="preserve">The Council credited the following grants and contributions to the Comprehensive Income and </w:t>
      </w:r>
      <w:r w:rsidR="006F087B">
        <w:rPr>
          <w:rFonts w:eastAsia="Times New Roman"/>
          <w:b w:val="0"/>
          <w:color w:val="auto"/>
          <w:sz w:val="22"/>
          <w:szCs w:val="20"/>
        </w:rPr>
        <w:t>Expenditure Statement in 2013-14</w:t>
      </w:r>
      <w:r>
        <w:rPr>
          <w:rFonts w:eastAsia="Times New Roman"/>
          <w:b w:val="0"/>
          <w:color w:val="auto"/>
          <w:sz w:val="22"/>
          <w:szCs w:val="20"/>
        </w:rPr>
        <w:t>.</w:t>
      </w:r>
    </w:p>
    <w:p w:rsidR="007013C3" w:rsidRPr="005631CF" w:rsidRDefault="007013C3" w:rsidP="00E15297">
      <w:pPr>
        <w:pStyle w:val="xl50"/>
        <w:tabs>
          <w:tab w:val="left" w:pos="567"/>
        </w:tabs>
        <w:spacing w:before="0" w:beforeAutospacing="0" w:after="0" w:afterAutospacing="0"/>
        <w:ind w:left="567"/>
        <w:rPr>
          <w:rFonts w:eastAsia="Times New Roman"/>
          <w:b w:val="0"/>
          <w:color w:val="auto"/>
          <w:sz w:val="22"/>
          <w:szCs w:val="20"/>
        </w:rPr>
      </w:pPr>
    </w:p>
    <w:p w:rsidR="00180922" w:rsidRPr="006F087B" w:rsidRDefault="006F087B" w:rsidP="006F087B">
      <w:pPr>
        <w:jc w:val="center"/>
        <w:rPr>
          <w:rFonts w:ascii="Arial" w:hAnsi="Arial" w:cs="Arial"/>
          <w:bCs/>
          <w:color w:val="000080"/>
          <w:sz w:val="24"/>
        </w:rPr>
      </w:pPr>
      <w:r w:rsidRPr="006F087B">
        <w:rPr>
          <w:noProof/>
          <w:lang w:eastAsia="en-GB"/>
        </w:rPr>
        <w:drawing>
          <wp:inline distT="0" distB="0" distL="0" distR="0" wp14:anchorId="28784A8F" wp14:editId="29D105D3">
            <wp:extent cx="5629275" cy="7334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4222" cy="7340696"/>
                    </a:xfrm>
                    <a:prstGeom prst="rect">
                      <a:avLst/>
                    </a:prstGeom>
                    <a:noFill/>
                    <a:ln>
                      <a:noFill/>
                    </a:ln>
                  </pic:spPr>
                </pic:pic>
              </a:graphicData>
            </a:graphic>
          </wp:inline>
        </w:drawing>
      </w:r>
    </w:p>
    <w:p w:rsidR="000A55EE" w:rsidRDefault="000A55EE">
      <w:pPr>
        <w:pStyle w:val="xl50"/>
        <w:tabs>
          <w:tab w:val="left" w:pos="567"/>
        </w:tabs>
        <w:spacing w:before="0" w:beforeAutospacing="0" w:after="0" w:afterAutospacing="0"/>
        <w:rPr>
          <w:rFonts w:eastAsia="Times New Roman"/>
          <w:bCs w:val="0"/>
          <w:szCs w:val="20"/>
        </w:rPr>
      </w:pPr>
    </w:p>
    <w:p w:rsidR="000A55EE" w:rsidRDefault="000A55EE">
      <w:pPr>
        <w:pStyle w:val="xl50"/>
        <w:tabs>
          <w:tab w:val="left" w:pos="567"/>
        </w:tabs>
        <w:spacing w:before="0" w:beforeAutospacing="0" w:after="0" w:afterAutospacing="0"/>
        <w:rPr>
          <w:rFonts w:eastAsia="Times New Roman"/>
          <w:bCs w:val="0"/>
          <w:szCs w:val="20"/>
        </w:rPr>
      </w:pPr>
    </w:p>
    <w:p w:rsidR="000A55EE" w:rsidRDefault="000A55EE">
      <w:pPr>
        <w:pStyle w:val="xl50"/>
        <w:tabs>
          <w:tab w:val="left" w:pos="567"/>
        </w:tabs>
        <w:spacing w:before="0" w:beforeAutospacing="0" w:after="0" w:afterAutospacing="0"/>
        <w:rPr>
          <w:rFonts w:eastAsia="Times New Roman"/>
          <w:bCs w:val="0"/>
          <w:szCs w:val="20"/>
        </w:rPr>
      </w:pPr>
    </w:p>
    <w:p w:rsidR="000A55EE" w:rsidRDefault="000A55EE">
      <w:pPr>
        <w:pStyle w:val="xl50"/>
        <w:tabs>
          <w:tab w:val="left" w:pos="567"/>
        </w:tabs>
        <w:spacing w:before="0" w:beforeAutospacing="0" w:after="0" w:afterAutospacing="0"/>
        <w:rPr>
          <w:rFonts w:eastAsia="Times New Roman"/>
          <w:bCs w:val="0"/>
          <w:szCs w:val="20"/>
        </w:rPr>
      </w:pPr>
    </w:p>
    <w:p w:rsidR="000A55EE" w:rsidRDefault="000A55EE">
      <w:pPr>
        <w:pStyle w:val="xl50"/>
        <w:tabs>
          <w:tab w:val="left" w:pos="567"/>
        </w:tabs>
        <w:spacing w:before="0" w:beforeAutospacing="0" w:after="0" w:afterAutospacing="0"/>
        <w:rPr>
          <w:rFonts w:eastAsia="Times New Roman"/>
          <w:bCs w:val="0"/>
          <w:szCs w:val="20"/>
        </w:rPr>
      </w:pPr>
    </w:p>
    <w:p w:rsidR="000A55EE" w:rsidRDefault="000A55EE">
      <w:pPr>
        <w:pStyle w:val="xl50"/>
        <w:tabs>
          <w:tab w:val="left" w:pos="567"/>
        </w:tabs>
        <w:spacing w:before="0" w:beforeAutospacing="0" w:after="0" w:afterAutospacing="0"/>
        <w:rPr>
          <w:rFonts w:eastAsia="Times New Roman"/>
          <w:bCs w:val="0"/>
          <w:szCs w:val="20"/>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lastRenderedPageBreak/>
        <w:t>3</w:t>
      </w:r>
      <w:r w:rsidR="00672827">
        <w:rPr>
          <w:rFonts w:eastAsia="Times New Roman"/>
          <w:bCs w:val="0"/>
          <w:szCs w:val="20"/>
        </w:rPr>
        <w:t>7</w:t>
      </w:r>
      <w:r>
        <w:rPr>
          <w:rFonts w:eastAsia="Times New Roman"/>
          <w:bCs w:val="0"/>
          <w:szCs w:val="20"/>
        </w:rPr>
        <w:t xml:space="preserve">    Financial Instruments</w:t>
      </w:r>
    </w:p>
    <w:p w:rsidR="001C6A9D" w:rsidRDefault="001C6A9D">
      <w:pPr>
        <w:rPr>
          <w:rFonts w:ascii="Arial" w:hAnsi="Arial" w:cs="Arial"/>
          <w:bCs/>
          <w:color w:val="000080"/>
          <w:sz w:val="24"/>
        </w:rPr>
      </w:pPr>
    </w:p>
    <w:p w:rsidR="00180922" w:rsidRDefault="00180922">
      <w:pPr>
        <w:rPr>
          <w:rFonts w:ascii="Arial" w:hAnsi="Arial" w:cs="Arial"/>
          <w:bCs/>
          <w:color w:val="000080"/>
          <w:sz w:val="24"/>
        </w:rPr>
      </w:pPr>
    </w:p>
    <w:p w:rsidR="00F23FFF" w:rsidRDefault="003552BC">
      <w:pPr>
        <w:ind w:left="567"/>
        <w:rPr>
          <w:rFonts w:ascii="Arial" w:hAnsi="Arial" w:cs="Arial"/>
          <w:sz w:val="22"/>
        </w:rPr>
      </w:pPr>
      <w:r>
        <w:rPr>
          <w:rFonts w:ascii="Arial" w:hAnsi="Arial" w:cs="Arial"/>
          <w:sz w:val="22"/>
        </w:rPr>
        <w:t>A financial instrument is any contract that gives rise to a financial asset of one entity and a financial liability or equity instrument of another entity. The Council has the following financial instruments:</w:t>
      </w:r>
    </w:p>
    <w:p w:rsidR="00F23FFF" w:rsidRDefault="00F23FFF">
      <w:pPr>
        <w:ind w:left="567"/>
        <w:rPr>
          <w:rFonts w:ascii="Arial" w:hAnsi="Arial" w:cs="Arial"/>
          <w:sz w:val="22"/>
        </w:rPr>
      </w:pPr>
    </w:p>
    <w:p w:rsidR="00F23FFF" w:rsidRDefault="003552BC">
      <w:pPr>
        <w:numPr>
          <w:ilvl w:val="0"/>
          <w:numId w:val="12"/>
        </w:numPr>
        <w:ind w:left="567" w:firstLine="0"/>
        <w:rPr>
          <w:rFonts w:ascii="Arial" w:hAnsi="Arial" w:cs="Arial"/>
          <w:sz w:val="22"/>
        </w:rPr>
      </w:pPr>
      <w:r>
        <w:rPr>
          <w:rFonts w:ascii="Arial" w:hAnsi="Arial" w:cs="Arial"/>
          <w:sz w:val="22"/>
        </w:rPr>
        <w:t>financial liabilities: trade payables</w:t>
      </w:r>
      <w:r w:rsidR="00AC4E8C">
        <w:rPr>
          <w:rFonts w:ascii="Arial" w:hAnsi="Arial" w:cs="Arial"/>
          <w:sz w:val="22"/>
        </w:rPr>
        <w:t xml:space="preserve"> and </w:t>
      </w:r>
      <w:r w:rsidR="007013C3">
        <w:rPr>
          <w:rFonts w:ascii="Arial" w:hAnsi="Arial" w:cs="Arial"/>
          <w:sz w:val="22"/>
        </w:rPr>
        <w:t>long term borrowing</w:t>
      </w:r>
    </w:p>
    <w:p w:rsidR="00F23FFF" w:rsidRDefault="003552BC" w:rsidP="00160E17">
      <w:pPr>
        <w:numPr>
          <w:ilvl w:val="0"/>
          <w:numId w:val="12"/>
        </w:numPr>
        <w:ind w:left="709" w:hanging="142"/>
        <w:rPr>
          <w:rFonts w:ascii="Arial" w:hAnsi="Arial" w:cs="Arial"/>
          <w:sz w:val="22"/>
        </w:rPr>
      </w:pPr>
      <w:r>
        <w:rPr>
          <w:rFonts w:ascii="Arial" w:hAnsi="Arial" w:cs="Arial"/>
          <w:sz w:val="22"/>
        </w:rPr>
        <w:t>financial assets: loans and receivables comprising bank deposits, trade receivables, investments and long term mortgages</w:t>
      </w:r>
    </w:p>
    <w:p w:rsidR="00F23FFF" w:rsidRDefault="00F23FFF">
      <w:pPr>
        <w:ind w:left="567"/>
        <w:rPr>
          <w:rFonts w:ascii="Arial" w:hAnsi="Arial" w:cs="Arial"/>
          <w:sz w:val="22"/>
        </w:rPr>
      </w:pPr>
    </w:p>
    <w:p w:rsidR="00180922" w:rsidRDefault="00180922" w:rsidP="00180922">
      <w:pPr>
        <w:ind w:left="567"/>
        <w:rPr>
          <w:rFonts w:ascii="Arial" w:hAnsi="Arial" w:cs="Arial"/>
          <w:sz w:val="22"/>
        </w:rPr>
      </w:pPr>
      <w:r>
        <w:rPr>
          <w:rFonts w:ascii="Arial" w:hAnsi="Arial" w:cs="Arial"/>
          <w:sz w:val="22"/>
        </w:rPr>
        <w:t>The Council has given interest free loans, repayable on the sale/transfer of charged properties, which have not been classified as financial instruments. These loans are included in the balance sheet as long term debtors’, the outstanding amount was £</w:t>
      </w:r>
      <w:r w:rsidR="000C7110">
        <w:rPr>
          <w:rFonts w:ascii="Arial" w:hAnsi="Arial" w:cs="Arial"/>
          <w:sz w:val="22"/>
        </w:rPr>
        <w:t>324,542</w:t>
      </w:r>
      <w:r>
        <w:rPr>
          <w:rFonts w:ascii="Arial" w:hAnsi="Arial" w:cs="Arial"/>
          <w:sz w:val="22"/>
        </w:rPr>
        <w:t xml:space="preserve"> as at 31 March 201</w:t>
      </w:r>
      <w:r w:rsidR="004C1B04">
        <w:rPr>
          <w:rFonts w:ascii="Arial" w:hAnsi="Arial" w:cs="Arial"/>
          <w:sz w:val="22"/>
        </w:rPr>
        <w:t>4</w:t>
      </w:r>
      <w:r>
        <w:rPr>
          <w:rFonts w:ascii="Arial" w:hAnsi="Arial" w:cs="Arial"/>
          <w:sz w:val="22"/>
        </w:rPr>
        <w:t xml:space="preserve"> (£</w:t>
      </w:r>
      <w:r w:rsidR="006F087B">
        <w:rPr>
          <w:rFonts w:ascii="Arial" w:hAnsi="Arial" w:cs="Arial"/>
          <w:sz w:val="22"/>
        </w:rPr>
        <w:t>356,667 in 2012-13</w:t>
      </w:r>
      <w:r>
        <w:rPr>
          <w:rFonts w:ascii="Arial" w:hAnsi="Arial" w:cs="Arial"/>
          <w:sz w:val="22"/>
        </w:rPr>
        <w:t>).</w:t>
      </w:r>
    </w:p>
    <w:p w:rsidR="00180922" w:rsidRDefault="00180922">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sz w:val="22"/>
        </w:rPr>
      </w:pPr>
    </w:p>
    <w:p w:rsidR="009C206D" w:rsidRPr="009C206D" w:rsidRDefault="009C206D">
      <w:pPr>
        <w:ind w:left="567"/>
        <w:rPr>
          <w:rFonts w:ascii="Arial" w:hAnsi="Arial" w:cs="Arial"/>
          <w:color w:val="003399"/>
          <w:sz w:val="22"/>
        </w:rPr>
      </w:pPr>
      <w:r w:rsidRPr="009C206D">
        <w:rPr>
          <w:rFonts w:ascii="Arial" w:hAnsi="Arial" w:cs="Arial"/>
          <w:color w:val="003399"/>
          <w:sz w:val="22"/>
        </w:rPr>
        <w:t>Categories of Financial Instrument</w:t>
      </w:r>
    </w:p>
    <w:p w:rsidR="009C206D" w:rsidRDefault="009C206D">
      <w:pPr>
        <w:ind w:left="567"/>
        <w:rPr>
          <w:rFonts w:ascii="Arial" w:hAnsi="Arial" w:cs="Arial"/>
          <w:sz w:val="22"/>
        </w:rPr>
      </w:pPr>
    </w:p>
    <w:p w:rsidR="009C206D" w:rsidRDefault="009C206D">
      <w:pPr>
        <w:ind w:left="567"/>
        <w:rPr>
          <w:rFonts w:ascii="Arial" w:hAnsi="Arial" w:cs="Arial"/>
          <w:sz w:val="22"/>
        </w:rPr>
      </w:pPr>
      <w:r>
        <w:rPr>
          <w:rFonts w:ascii="Arial" w:hAnsi="Arial" w:cs="Arial"/>
          <w:sz w:val="22"/>
        </w:rPr>
        <w:t>The following categories of financial instrument are carried in the balance sheet:</w:t>
      </w:r>
    </w:p>
    <w:p w:rsidR="009C206D" w:rsidRDefault="009C206D">
      <w:pPr>
        <w:ind w:left="567"/>
        <w:rPr>
          <w:rFonts w:ascii="Arial" w:hAnsi="Arial" w:cs="Arial"/>
          <w:sz w:val="22"/>
        </w:rPr>
      </w:pPr>
    </w:p>
    <w:p w:rsidR="00EF59BA" w:rsidRDefault="00EF59BA">
      <w:pPr>
        <w:ind w:left="567"/>
        <w:rPr>
          <w:rFonts w:ascii="Arial" w:hAnsi="Arial" w:cs="Arial"/>
          <w:sz w:val="22"/>
        </w:rPr>
      </w:pPr>
    </w:p>
    <w:tbl>
      <w:tblPr>
        <w:tblW w:w="9340" w:type="dxa"/>
        <w:jc w:val="center"/>
        <w:tblInd w:w="93" w:type="dxa"/>
        <w:tblLook w:val="04A0" w:firstRow="1" w:lastRow="0" w:firstColumn="1" w:lastColumn="0" w:noHBand="0" w:noVBand="1"/>
      </w:tblPr>
      <w:tblGrid>
        <w:gridCol w:w="278"/>
        <w:gridCol w:w="3560"/>
        <w:gridCol w:w="1300"/>
        <w:gridCol w:w="1300"/>
        <w:gridCol w:w="278"/>
        <w:gridCol w:w="1300"/>
        <w:gridCol w:w="1300"/>
        <w:gridCol w:w="278"/>
      </w:tblGrid>
      <w:tr w:rsidR="00740F7F" w:rsidRPr="00740F7F" w:rsidTr="00740F7F">
        <w:trPr>
          <w:trHeight w:val="480"/>
          <w:jc w:val="center"/>
        </w:trPr>
        <w:tc>
          <w:tcPr>
            <w:tcW w:w="180" w:type="dxa"/>
            <w:tcBorders>
              <w:top w:val="single" w:sz="4" w:space="0" w:color="auto"/>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single" w:sz="4" w:space="0" w:color="auto"/>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00" w:type="dxa"/>
            <w:gridSpan w:val="2"/>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Long Term</w:t>
            </w:r>
          </w:p>
        </w:tc>
        <w:tc>
          <w:tcPr>
            <w:tcW w:w="200" w:type="dxa"/>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 </w:t>
            </w:r>
          </w:p>
        </w:tc>
        <w:tc>
          <w:tcPr>
            <w:tcW w:w="2600" w:type="dxa"/>
            <w:gridSpan w:val="2"/>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Current</w:t>
            </w:r>
          </w:p>
        </w:tc>
        <w:tc>
          <w:tcPr>
            <w:tcW w:w="200" w:type="dxa"/>
            <w:tcBorders>
              <w:top w:val="single" w:sz="4" w:space="0" w:color="auto"/>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6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31 March 2014</w:t>
            </w:r>
          </w:p>
        </w:tc>
        <w:tc>
          <w:tcPr>
            <w:tcW w:w="130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31 March 2013</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 </w:t>
            </w:r>
          </w:p>
        </w:tc>
        <w:tc>
          <w:tcPr>
            <w:tcW w:w="130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31 March 2014</w:t>
            </w:r>
          </w:p>
        </w:tc>
        <w:tc>
          <w:tcPr>
            <w:tcW w:w="130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31 March 2013</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Investments</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Loans and receivables</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2,000</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2,000</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25,127</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20,932</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165"/>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Debtors</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Loans and receivables</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0</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2,296</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3,499</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15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Borrowings</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Long term borrowing</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(205,123)</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(205,123)</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0</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135"/>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4860" w:type="dxa"/>
            <w:gridSpan w:val="2"/>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Creditors and receipts in advance</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Financial liabilities at amortised cost</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0</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0</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(5,216)</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(5,059)</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18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8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300" w:type="dxa"/>
            <w:tcBorders>
              <w:top w:val="single" w:sz="4" w:space="0" w:color="auto"/>
              <w:left w:val="nil"/>
              <w:bottom w:val="nil"/>
              <w:right w:val="nil"/>
            </w:tcBorders>
            <w:shd w:val="clear" w:color="auto" w:fill="auto"/>
            <w:noWrap/>
            <w:vAlign w:val="bottom"/>
            <w:hideMark/>
          </w:tcPr>
          <w:p w:rsidR="00740F7F" w:rsidRPr="00740F7F" w:rsidRDefault="00740F7F" w:rsidP="00740F7F">
            <w:pPr>
              <w:jc w:val="right"/>
              <w:rPr>
                <w:rFonts w:ascii="Arial" w:hAnsi="Arial" w:cs="Arial"/>
                <w:b/>
                <w:bCs/>
                <w:color w:val="000000"/>
                <w:sz w:val="22"/>
                <w:szCs w:val="22"/>
                <w:lang w:eastAsia="en-GB"/>
              </w:rPr>
            </w:pPr>
            <w:r w:rsidRPr="00740F7F">
              <w:rPr>
                <w:rFonts w:ascii="Arial" w:hAnsi="Arial" w:cs="Arial"/>
                <w:b/>
                <w:bCs/>
                <w:color w:val="000000"/>
                <w:sz w:val="22"/>
                <w:szCs w:val="22"/>
                <w:lang w:eastAsia="en-GB"/>
              </w:rPr>
              <w:t>(203,123)</w:t>
            </w:r>
          </w:p>
        </w:tc>
        <w:tc>
          <w:tcPr>
            <w:tcW w:w="1300" w:type="dxa"/>
            <w:tcBorders>
              <w:top w:val="single" w:sz="4" w:space="0" w:color="auto"/>
              <w:left w:val="nil"/>
              <w:bottom w:val="nil"/>
              <w:right w:val="nil"/>
            </w:tcBorders>
            <w:shd w:val="clear" w:color="auto" w:fill="auto"/>
            <w:noWrap/>
            <w:vAlign w:val="bottom"/>
            <w:hideMark/>
          </w:tcPr>
          <w:p w:rsidR="00740F7F" w:rsidRPr="00740F7F" w:rsidRDefault="00740F7F" w:rsidP="00740F7F">
            <w:pPr>
              <w:jc w:val="right"/>
              <w:rPr>
                <w:rFonts w:ascii="Arial" w:hAnsi="Arial" w:cs="Arial"/>
                <w:b/>
                <w:bCs/>
                <w:color w:val="000000"/>
                <w:sz w:val="22"/>
                <w:szCs w:val="22"/>
                <w:lang w:eastAsia="en-GB"/>
              </w:rPr>
            </w:pPr>
            <w:r w:rsidRPr="00740F7F">
              <w:rPr>
                <w:rFonts w:ascii="Arial" w:hAnsi="Arial" w:cs="Arial"/>
                <w:b/>
                <w:bCs/>
                <w:color w:val="000000"/>
                <w:sz w:val="22"/>
                <w:szCs w:val="22"/>
                <w:lang w:eastAsia="en-GB"/>
              </w:rPr>
              <w:t>(203,123)</w:t>
            </w:r>
          </w:p>
        </w:tc>
        <w:tc>
          <w:tcPr>
            <w:tcW w:w="200" w:type="dxa"/>
            <w:tcBorders>
              <w:top w:val="single" w:sz="4" w:space="0" w:color="auto"/>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single" w:sz="4" w:space="0" w:color="auto"/>
              <w:left w:val="nil"/>
              <w:bottom w:val="nil"/>
              <w:right w:val="nil"/>
            </w:tcBorders>
            <w:shd w:val="clear" w:color="auto" w:fill="auto"/>
            <w:noWrap/>
            <w:vAlign w:val="bottom"/>
            <w:hideMark/>
          </w:tcPr>
          <w:p w:rsidR="00740F7F" w:rsidRPr="00740F7F" w:rsidRDefault="00740F7F" w:rsidP="00740F7F">
            <w:pPr>
              <w:jc w:val="right"/>
              <w:rPr>
                <w:rFonts w:ascii="Arial" w:hAnsi="Arial" w:cs="Arial"/>
                <w:b/>
                <w:bCs/>
                <w:color w:val="000000"/>
                <w:sz w:val="22"/>
                <w:szCs w:val="22"/>
                <w:lang w:eastAsia="en-GB"/>
              </w:rPr>
            </w:pPr>
            <w:r w:rsidRPr="00740F7F">
              <w:rPr>
                <w:rFonts w:ascii="Arial" w:hAnsi="Arial" w:cs="Arial"/>
                <w:b/>
                <w:bCs/>
                <w:color w:val="000000"/>
                <w:sz w:val="22"/>
                <w:szCs w:val="22"/>
                <w:lang w:eastAsia="en-GB"/>
              </w:rPr>
              <w:t>22,207</w:t>
            </w:r>
          </w:p>
        </w:tc>
        <w:tc>
          <w:tcPr>
            <w:tcW w:w="1300" w:type="dxa"/>
            <w:tcBorders>
              <w:top w:val="single" w:sz="4" w:space="0" w:color="auto"/>
              <w:left w:val="nil"/>
              <w:bottom w:val="nil"/>
              <w:right w:val="nil"/>
            </w:tcBorders>
            <w:shd w:val="clear" w:color="auto" w:fill="auto"/>
            <w:noWrap/>
            <w:vAlign w:val="bottom"/>
            <w:hideMark/>
          </w:tcPr>
          <w:p w:rsidR="00740F7F" w:rsidRPr="00740F7F" w:rsidRDefault="00740F7F" w:rsidP="00740F7F">
            <w:pPr>
              <w:jc w:val="right"/>
              <w:rPr>
                <w:rFonts w:ascii="Arial" w:hAnsi="Arial" w:cs="Arial"/>
                <w:b/>
                <w:bCs/>
                <w:color w:val="000000"/>
                <w:sz w:val="22"/>
                <w:szCs w:val="22"/>
                <w:lang w:eastAsia="en-GB"/>
              </w:rPr>
            </w:pPr>
            <w:r w:rsidRPr="00740F7F">
              <w:rPr>
                <w:rFonts w:ascii="Arial" w:hAnsi="Arial" w:cs="Arial"/>
                <w:b/>
                <w:bCs/>
                <w:color w:val="000000"/>
                <w:sz w:val="22"/>
                <w:szCs w:val="22"/>
                <w:lang w:eastAsia="en-GB"/>
              </w:rPr>
              <w:t>19,372</w:t>
            </w:r>
          </w:p>
        </w:tc>
        <w:tc>
          <w:tcPr>
            <w:tcW w:w="20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150"/>
          <w:jc w:val="center"/>
        </w:trPr>
        <w:tc>
          <w:tcPr>
            <w:tcW w:w="180" w:type="dxa"/>
            <w:tcBorders>
              <w:top w:val="nil"/>
              <w:left w:val="single" w:sz="4" w:space="0" w:color="auto"/>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356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00" w:type="dxa"/>
            <w:tcBorders>
              <w:top w:val="nil"/>
              <w:left w:val="nil"/>
              <w:bottom w:val="single" w:sz="4" w:space="0" w:color="auto"/>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30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00" w:type="dxa"/>
            <w:tcBorders>
              <w:top w:val="nil"/>
              <w:left w:val="nil"/>
              <w:bottom w:val="single" w:sz="4" w:space="0" w:color="auto"/>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bl>
    <w:p w:rsidR="009C206D" w:rsidRDefault="009C206D" w:rsidP="009C206D">
      <w:pPr>
        <w:ind w:left="-284"/>
        <w:jc w:val="center"/>
        <w:rPr>
          <w:rFonts w:ascii="Arial" w:hAnsi="Arial" w:cs="Arial"/>
          <w:sz w:val="22"/>
        </w:rPr>
      </w:pPr>
    </w:p>
    <w:p w:rsidR="009C206D" w:rsidRDefault="009C206D">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sz w:val="22"/>
        </w:rPr>
      </w:pPr>
    </w:p>
    <w:p w:rsidR="004C1B04" w:rsidRDefault="004C1B04">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sz w:val="22"/>
        </w:rPr>
      </w:pPr>
    </w:p>
    <w:p w:rsidR="00EF59BA" w:rsidRDefault="00EF59BA">
      <w:pPr>
        <w:ind w:left="567"/>
        <w:rPr>
          <w:rFonts w:ascii="Arial" w:hAnsi="Arial" w:cs="Arial"/>
          <w:sz w:val="22"/>
        </w:rPr>
      </w:pPr>
    </w:p>
    <w:p w:rsidR="009C206D" w:rsidRDefault="009C206D" w:rsidP="00180922">
      <w:pPr>
        <w:rPr>
          <w:rFonts w:ascii="Arial" w:hAnsi="Arial" w:cs="Arial"/>
          <w:color w:val="003399"/>
          <w:sz w:val="22"/>
        </w:rPr>
      </w:pPr>
      <w:r w:rsidRPr="009C206D">
        <w:rPr>
          <w:rFonts w:ascii="Arial" w:hAnsi="Arial" w:cs="Arial"/>
          <w:color w:val="003399"/>
          <w:sz w:val="22"/>
        </w:rPr>
        <w:lastRenderedPageBreak/>
        <w:t>In</w:t>
      </w:r>
      <w:r w:rsidR="00180922">
        <w:rPr>
          <w:rFonts w:ascii="Arial" w:hAnsi="Arial" w:cs="Arial"/>
          <w:color w:val="003399"/>
          <w:sz w:val="22"/>
        </w:rPr>
        <w:t>come, Expense, Gains and Losses</w:t>
      </w:r>
    </w:p>
    <w:p w:rsidR="00180922" w:rsidRPr="00180922" w:rsidRDefault="00180922" w:rsidP="00180922">
      <w:pPr>
        <w:rPr>
          <w:rFonts w:ascii="Arial" w:hAnsi="Arial" w:cs="Arial"/>
          <w:color w:val="003399"/>
          <w:sz w:val="22"/>
        </w:rPr>
      </w:pPr>
    </w:p>
    <w:p w:rsidR="009C206D" w:rsidRDefault="009C206D" w:rsidP="00180922">
      <w:pPr>
        <w:rPr>
          <w:rFonts w:ascii="Arial" w:hAnsi="Arial" w:cs="Arial"/>
          <w:sz w:val="22"/>
        </w:rPr>
      </w:pPr>
      <w:r>
        <w:rPr>
          <w:rFonts w:ascii="Arial" w:hAnsi="Arial" w:cs="Arial"/>
          <w:sz w:val="22"/>
        </w:rPr>
        <w:t>The following items of income, expense, gain or loss are reflected in the comprehensive income and expenditure statement in respect of financial instruments.</w:t>
      </w:r>
    </w:p>
    <w:p w:rsidR="00180922" w:rsidRDefault="00180922">
      <w:pPr>
        <w:ind w:left="567"/>
        <w:rPr>
          <w:rFonts w:ascii="Arial" w:hAnsi="Arial" w:cs="Arial"/>
          <w:sz w:val="22"/>
        </w:rPr>
      </w:pPr>
    </w:p>
    <w:p w:rsidR="004C1B04" w:rsidRDefault="004C1B04">
      <w:pPr>
        <w:ind w:left="567"/>
        <w:rPr>
          <w:rFonts w:ascii="Arial" w:hAnsi="Arial" w:cs="Arial"/>
          <w:sz w:val="22"/>
        </w:rPr>
      </w:pPr>
    </w:p>
    <w:p w:rsidR="009B3E5C" w:rsidRDefault="009B3E5C">
      <w:pPr>
        <w:ind w:left="567"/>
        <w:rPr>
          <w:rFonts w:ascii="Arial" w:hAnsi="Arial" w:cs="Arial"/>
          <w:sz w:val="22"/>
        </w:rPr>
      </w:pPr>
    </w:p>
    <w:tbl>
      <w:tblPr>
        <w:tblW w:w="10176" w:type="dxa"/>
        <w:jc w:val="center"/>
        <w:tblInd w:w="93" w:type="dxa"/>
        <w:tblLook w:val="04A0" w:firstRow="1" w:lastRow="0" w:firstColumn="1" w:lastColumn="0" w:noHBand="0" w:noVBand="1"/>
      </w:tblPr>
      <w:tblGrid>
        <w:gridCol w:w="3516"/>
        <w:gridCol w:w="1571"/>
        <w:gridCol w:w="1627"/>
        <w:gridCol w:w="278"/>
        <w:gridCol w:w="1571"/>
        <w:gridCol w:w="1627"/>
      </w:tblGrid>
      <w:tr w:rsidR="004C1B04" w:rsidRPr="004C1B04" w:rsidTr="004C1B04">
        <w:trPr>
          <w:trHeight w:val="279"/>
          <w:jc w:val="center"/>
        </w:trPr>
        <w:tc>
          <w:tcPr>
            <w:tcW w:w="3516" w:type="dxa"/>
            <w:tcBorders>
              <w:top w:val="single" w:sz="4" w:space="0" w:color="auto"/>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3198" w:type="dxa"/>
            <w:gridSpan w:val="2"/>
            <w:tcBorders>
              <w:top w:val="single" w:sz="4" w:space="0" w:color="auto"/>
              <w:left w:val="nil"/>
              <w:bottom w:val="nil"/>
              <w:right w:val="nil"/>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2013-14</w:t>
            </w:r>
          </w:p>
        </w:tc>
        <w:tc>
          <w:tcPr>
            <w:tcW w:w="264" w:type="dxa"/>
            <w:tcBorders>
              <w:top w:val="single" w:sz="4" w:space="0" w:color="auto"/>
              <w:left w:val="nil"/>
              <w:bottom w:val="nil"/>
              <w:right w:val="single" w:sz="4" w:space="0" w:color="auto"/>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3198" w:type="dxa"/>
            <w:gridSpan w:val="2"/>
            <w:tcBorders>
              <w:top w:val="single" w:sz="4" w:space="0" w:color="auto"/>
              <w:left w:val="nil"/>
              <w:bottom w:val="nil"/>
              <w:right w:val="single" w:sz="4" w:space="0" w:color="000000"/>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2012-13</w:t>
            </w:r>
          </w:p>
        </w:tc>
      </w:tr>
      <w:tr w:rsidR="004C1B04" w:rsidRPr="004C1B04" w:rsidTr="004C1B04">
        <w:trPr>
          <w:trHeight w:val="836"/>
          <w:jc w:val="center"/>
        </w:trPr>
        <w:tc>
          <w:tcPr>
            <w:tcW w:w="3516"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1571" w:type="dxa"/>
            <w:tcBorders>
              <w:top w:val="nil"/>
              <w:left w:val="nil"/>
              <w:bottom w:val="nil"/>
              <w:right w:val="nil"/>
            </w:tcBorders>
            <w:shd w:val="clear" w:color="auto" w:fill="auto"/>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Financial liabilities at amortised cost</w:t>
            </w:r>
          </w:p>
        </w:tc>
        <w:tc>
          <w:tcPr>
            <w:tcW w:w="1627" w:type="dxa"/>
            <w:tcBorders>
              <w:top w:val="nil"/>
              <w:left w:val="nil"/>
              <w:bottom w:val="nil"/>
              <w:right w:val="nil"/>
            </w:tcBorders>
            <w:shd w:val="clear" w:color="auto" w:fill="auto"/>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Financial Assets, loans &amp; receivables</w:t>
            </w:r>
          </w:p>
        </w:tc>
        <w:tc>
          <w:tcPr>
            <w:tcW w:w="264" w:type="dxa"/>
            <w:tcBorders>
              <w:top w:val="nil"/>
              <w:left w:val="nil"/>
              <w:bottom w:val="nil"/>
              <w:right w:val="single" w:sz="4" w:space="0" w:color="auto"/>
            </w:tcBorders>
            <w:shd w:val="clear" w:color="auto" w:fill="auto"/>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1571" w:type="dxa"/>
            <w:tcBorders>
              <w:top w:val="nil"/>
              <w:left w:val="nil"/>
              <w:bottom w:val="nil"/>
              <w:right w:val="nil"/>
            </w:tcBorders>
            <w:shd w:val="clear" w:color="auto" w:fill="auto"/>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Financial liabilities at amortised cost</w:t>
            </w:r>
          </w:p>
        </w:tc>
        <w:tc>
          <w:tcPr>
            <w:tcW w:w="1627" w:type="dxa"/>
            <w:tcBorders>
              <w:top w:val="nil"/>
              <w:left w:val="nil"/>
              <w:bottom w:val="nil"/>
              <w:right w:val="single" w:sz="4" w:space="0" w:color="auto"/>
            </w:tcBorders>
            <w:shd w:val="clear" w:color="auto" w:fill="auto"/>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Financial Assets, loans &amp; receivables</w:t>
            </w:r>
          </w:p>
        </w:tc>
      </w:tr>
      <w:tr w:rsidR="004C1B04" w:rsidRPr="004C1B04" w:rsidTr="004C1B04">
        <w:trPr>
          <w:trHeight w:val="279"/>
          <w:jc w:val="center"/>
        </w:trPr>
        <w:tc>
          <w:tcPr>
            <w:tcW w:w="3516" w:type="dxa"/>
            <w:tcBorders>
              <w:top w:val="nil"/>
              <w:left w:val="single" w:sz="4" w:space="0" w:color="auto"/>
              <w:bottom w:val="single" w:sz="4" w:space="0" w:color="auto"/>
              <w:right w:val="nil"/>
            </w:tcBorders>
            <w:shd w:val="clear" w:color="auto" w:fill="auto"/>
            <w:noWrap/>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1571"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w:t>
            </w:r>
          </w:p>
        </w:tc>
        <w:tc>
          <w:tcPr>
            <w:tcW w:w="1627"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w:t>
            </w:r>
          </w:p>
        </w:tc>
        <w:tc>
          <w:tcPr>
            <w:tcW w:w="264" w:type="dxa"/>
            <w:tcBorders>
              <w:top w:val="nil"/>
              <w:left w:val="nil"/>
              <w:bottom w:val="single" w:sz="4" w:space="0" w:color="auto"/>
              <w:right w:val="single" w:sz="4" w:space="0" w:color="auto"/>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1571"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w:t>
            </w:r>
          </w:p>
        </w:tc>
        <w:tc>
          <w:tcPr>
            <w:tcW w:w="1627" w:type="dxa"/>
            <w:tcBorders>
              <w:top w:val="nil"/>
              <w:left w:val="nil"/>
              <w:bottom w:val="single" w:sz="4" w:space="0" w:color="auto"/>
              <w:right w:val="single" w:sz="4" w:space="0" w:color="auto"/>
            </w:tcBorders>
            <w:shd w:val="clear" w:color="auto" w:fill="auto"/>
            <w:noWrap/>
            <w:vAlign w:val="bottom"/>
            <w:hideMark/>
          </w:tcPr>
          <w:p w:rsidR="004C1B04" w:rsidRPr="004C1B04" w:rsidRDefault="004C1B04" w:rsidP="004C1B04">
            <w:pPr>
              <w:jc w:val="center"/>
              <w:rPr>
                <w:rFonts w:ascii="Arial" w:hAnsi="Arial" w:cs="Arial"/>
                <w:b/>
                <w:bCs/>
                <w:color w:val="000000"/>
                <w:sz w:val="22"/>
                <w:szCs w:val="22"/>
                <w:lang w:eastAsia="en-GB"/>
              </w:rPr>
            </w:pPr>
            <w:r w:rsidRPr="004C1B04">
              <w:rPr>
                <w:rFonts w:ascii="Arial" w:hAnsi="Arial" w:cs="Arial"/>
                <w:b/>
                <w:bCs/>
                <w:color w:val="000000"/>
                <w:sz w:val="22"/>
                <w:szCs w:val="22"/>
                <w:lang w:eastAsia="en-GB"/>
              </w:rPr>
              <w:t>£</w:t>
            </w:r>
          </w:p>
        </w:tc>
      </w:tr>
      <w:tr w:rsidR="004C1B04" w:rsidRPr="004C1B04" w:rsidTr="004C1B04">
        <w:trPr>
          <w:trHeight w:val="473"/>
          <w:jc w:val="center"/>
        </w:trPr>
        <w:tc>
          <w:tcPr>
            <w:tcW w:w="3516"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Interest expense</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7,192,805</w:t>
            </w:r>
          </w:p>
        </w:tc>
        <w:tc>
          <w:tcPr>
            <w:tcW w:w="1627" w:type="dxa"/>
            <w:tcBorders>
              <w:top w:val="nil"/>
              <w:left w:val="nil"/>
              <w:bottom w:val="nil"/>
              <w:right w:val="nil"/>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0</w:t>
            </w:r>
          </w:p>
        </w:tc>
        <w:tc>
          <w:tcPr>
            <w:tcW w:w="264" w:type="dxa"/>
            <w:tcBorders>
              <w:top w:val="nil"/>
              <w:left w:val="nil"/>
              <w:bottom w:val="nil"/>
              <w:right w:val="single" w:sz="4" w:space="0" w:color="auto"/>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7,192,805</w:t>
            </w:r>
          </w:p>
        </w:tc>
        <w:tc>
          <w:tcPr>
            <w:tcW w:w="1627" w:type="dxa"/>
            <w:tcBorders>
              <w:top w:val="nil"/>
              <w:left w:val="nil"/>
              <w:bottom w:val="nil"/>
              <w:right w:val="single" w:sz="4" w:space="0" w:color="auto"/>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0</w:t>
            </w:r>
          </w:p>
        </w:tc>
      </w:tr>
      <w:tr w:rsidR="004C1B04" w:rsidRPr="004C1B04" w:rsidTr="004C1B04">
        <w:trPr>
          <w:trHeight w:val="195"/>
          <w:jc w:val="center"/>
        </w:trPr>
        <w:tc>
          <w:tcPr>
            <w:tcW w:w="3516"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1627"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264" w:type="dxa"/>
            <w:tcBorders>
              <w:top w:val="nil"/>
              <w:left w:val="nil"/>
              <w:bottom w:val="nil"/>
              <w:right w:val="single" w:sz="4" w:space="0" w:color="auto"/>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1627" w:type="dxa"/>
            <w:tcBorders>
              <w:top w:val="nil"/>
              <w:left w:val="nil"/>
              <w:bottom w:val="nil"/>
              <w:right w:val="single" w:sz="4" w:space="0" w:color="auto"/>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r>
      <w:tr w:rsidR="004C1B04" w:rsidRPr="004C1B04" w:rsidTr="004C1B04">
        <w:trPr>
          <w:trHeight w:val="641"/>
          <w:jc w:val="center"/>
        </w:trPr>
        <w:tc>
          <w:tcPr>
            <w:tcW w:w="3516" w:type="dxa"/>
            <w:tcBorders>
              <w:top w:val="nil"/>
              <w:left w:val="single" w:sz="4" w:space="0" w:color="auto"/>
              <w:bottom w:val="single" w:sz="4" w:space="0" w:color="auto"/>
              <w:right w:val="nil"/>
            </w:tcBorders>
            <w:shd w:val="clear" w:color="auto" w:fill="auto"/>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Total expense in surplus or deficit on the provision of services</w:t>
            </w:r>
          </w:p>
        </w:tc>
        <w:tc>
          <w:tcPr>
            <w:tcW w:w="1571"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7,192,805</w:t>
            </w:r>
          </w:p>
        </w:tc>
        <w:tc>
          <w:tcPr>
            <w:tcW w:w="1627"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0</w:t>
            </w:r>
          </w:p>
        </w:tc>
        <w:tc>
          <w:tcPr>
            <w:tcW w:w="264" w:type="dxa"/>
            <w:tcBorders>
              <w:top w:val="nil"/>
              <w:left w:val="nil"/>
              <w:bottom w:val="single" w:sz="4" w:space="0" w:color="auto"/>
              <w:right w:val="single" w:sz="4" w:space="0" w:color="auto"/>
            </w:tcBorders>
            <w:shd w:val="clear" w:color="auto" w:fill="auto"/>
            <w:noWrap/>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1571"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7,192,805</w:t>
            </w:r>
          </w:p>
        </w:tc>
        <w:tc>
          <w:tcPr>
            <w:tcW w:w="1627" w:type="dxa"/>
            <w:tcBorders>
              <w:top w:val="nil"/>
              <w:left w:val="nil"/>
              <w:bottom w:val="single" w:sz="4" w:space="0" w:color="auto"/>
              <w:right w:val="single" w:sz="4" w:space="0" w:color="auto"/>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0</w:t>
            </w:r>
          </w:p>
        </w:tc>
      </w:tr>
      <w:tr w:rsidR="004C1B04" w:rsidRPr="004C1B04" w:rsidTr="004C1B04">
        <w:trPr>
          <w:trHeight w:val="599"/>
          <w:jc w:val="center"/>
        </w:trPr>
        <w:tc>
          <w:tcPr>
            <w:tcW w:w="3516"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627"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264"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571"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627" w:type="dxa"/>
            <w:tcBorders>
              <w:top w:val="nil"/>
              <w:left w:val="nil"/>
              <w:bottom w:val="nil"/>
              <w:right w:val="single" w:sz="4" w:space="0" w:color="auto"/>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r>
      <w:tr w:rsidR="004C1B04" w:rsidRPr="004C1B04" w:rsidTr="004C1B04">
        <w:trPr>
          <w:trHeight w:val="265"/>
          <w:jc w:val="center"/>
        </w:trPr>
        <w:tc>
          <w:tcPr>
            <w:tcW w:w="3516"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Interest income</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1627" w:type="dxa"/>
            <w:tcBorders>
              <w:top w:val="nil"/>
              <w:left w:val="nil"/>
              <w:bottom w:val="nil"/>
              <w:right w:val="nil"/>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(438,563)</w:t>
            </w:r>
          </w:p>
        </w:tc>
        <w:tc>
          <w:tcPr>
            <w:tcW w:w="264"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1571" w:type="dxa"/>
            <w:tcBorders>
              <w:top w:val="nil"/>
              <w:left w:val="single" w:sz="4" w:space="0" w:color="auto"/>
              <w:bottom w:val="nil"/>
              <w:right w:val="nil"/>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0</w:t>
            </w:r>
          </w:p>
        </w:tc>
        <w:tc>
          <w:tcPr>
            <w:tcW w:w="1627" w:type="dxa"/>
            <w:tcBorders>
              <w:top w:val="nil"/>
              <w:left w:val="nil"/>
              <w:bottom w:val="nil"/>
              <w:right w:val="single" w:sz="4" w:space="0" w:color="auto"/>
            </w:tcBorders>
            <w:shd w:val="clear" w:color="auto" w:fill="auto"/>
            <w:noWrap/>
            <w:vAlign w:val="bottom"/>
            <w:hideMark/>
          </w:tcPr>
          <w:p w:rsidR="004C1B04" w:rsidRPr="004C1B04" w:rsidRDefault="004C1B04" w:rsidP="004C1B04">
            <w:pPr>
              <w:jc w:val="right"/>
              <w:rPr>
                <w:rFonts w:ascii="Arial" w:hAnsi="Arial" w:cs="Arial"/>
                <w:color w:val="000000"/>
                <w:sz w:val="22"/>
                <w:szCs w:val="22"/>
                <w:lang w:eastAsia="en-GB"/>
              </w:rPr>
            </w:pPr>
            <w:r w:rsidRPr="004C1B04">
              <w:rPr>
                <w:rFonts w:ascii="Arial" w:hAnsi="Arial" w:cs="Arial"/>
                <w:color w:val="000000"/>
                <w:sz w:val="22"/>
                <w:szCs w:val="22"/>
                <w:lang w:eastAsia="en-GB"/>
              </w:rPr>
              <w:t>(679,682)</w:t>
            </w:r>
          </w:p>
        </w:tc>
      </w:tr>
      <w:tr w:rsidR="004C1B04" w:rsidRPr="004C1B04" w:rsidTr="004C1B04">
        <w:trPr>
          <w:trHeight w:val="154"/>
          <w:jc w:val="center"/>
        </w:trPr>
        <w:tc>
          <w:tcPr>
            <w:tcW w:w="3516"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571"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1627"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264" w:type="dxa"/>
            <w:tcBorders>
              <w:top w:val="nil"/>
              <w:left w:val="nil"/>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p>
        </w:tc>
        <w:tc>
          <w:tcPr>
            <w:tcW w:w="1571" w:type="dxa"/>
            <w:tcBorders>
              <w:top w:val="nil"/>
              <w:left w:val="single" w:sz="4" w:space="0" w:color="auto"/>
              <w:bottom w:val="nil"/>
              <w:right w:val="nil"/>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c>
          <w:tcPr>
            <w:tcW w:w="1627" w:type="dxa"/>
            <w:tcBorders>
              <w:top w:val="nil"/>
              <w:left w:val="nil"/>
              <w:bottom w:val="nil"/>
              <w:right w:val="single" w:sz="4" w:space="0" w:color="auto"/>
            </w:tcBorders>
            <w:shd w:val="clear" w:color="auto" w:fill="auto"/>
            <w:noWrap/>
            <w:vAlign w:val="bottom"/>
            <w:hideMark/>
          </w:tcPr>
          <w:p w:rsidR="004C1B04" w:rsidRPr="004C1B04" w:rsidRDefault="004C1B04" w:rsidP="004C1B04">
            <w:pPr>
              <w:rPr>
                <w:rFonts w:ascii="Arial" w:hAnsi="Arial" w:cs="Arial"/>
                <w:color w:val="000000"/>
                <w:sz w:val="22"/>
                <w:szCs w:val="22"/>
                <w:lang w:eastAsia="en-GB"/>
              </w:rPr>
            </w:pPr>
            <w:r w:rsidRPr="004C1B04">
              <w:rPr>
                <w:rFonts w:ascii="Arial" w:hAnsi="Arial" w:cs="Arial"/>
                <w:color w:val="000000"/>
                <w:sz w:val="22"/>
                <w:szCs w:val="22"/>
                <w:lang w:eastAsia="en-GB"/>
              </w:rPr>
              <w:t> </w:t>
            </w:r>
          </w:p>
        </w:tc>
      </w:tr>
      <w:tr w:rsidR="004C1B04" w:rsidRPr="004C1B04" w:rsidTr="004C1B04">
        <w:trPr>
          <w:trHeight w:val="613"/>
          <w:jc w:val="center"/>
        </w:trPr>
        <w:tc>
          <w:tcPr>
            <w:tcW w:w="3516" w:type="dxa"/>
            <w:tcBorders>
              <w:top w:val="nil"/>
              <w:left w:val="single" w:sz="4" w:space="0" w:color="auto"/>
              <w:bottom w:val="single" w:sz="4" w:space="0" w:color="auto"/>
              <w:right w:val="nil"/>
            </w:tcBorders>
            <w:shd w:val="clear" w:color="auto" w:fill="auto"/>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Total income in surplus or deficit on the provision of services</w:t>
            </w:r>
          </w:p>
        </w:tc>
        <w:tc>
          <w:tcPr>
            <w:tcW w:w="1571"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0</w:t>
            </w:r>
          </w:p>
        </w:tc>
        <w:tc>
          <w:tcPr>
            <w:tcW w:w="1627" w:type="dxa"/>
            <w:tcBorders>
              <w:top w:val="nil"/>
              <w:left w:val="nil"/>
              <w:bottom w:val="single" w:sz="4" w:space="0" w:color="auto"/>
              <w:right w:val="nil"/>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(438,563)</w:t>
            </w:r>
          </w:p>
        </w:tc>
        <w:tc>
          <w:tcPr>
            <w:tcW w:w="264" w:type="dxa"/>
            <w:tcBorders>
              <w:top w:val="nil"/>
              <w:left w:val="nil"/>
              <w:bottom w:val="single" w:sz="4" w:space="0" w:color="auto"/>
              <w:right w:val="nil"/>
            </w:tcBorders>
            <w:shd w:val="clear" w:color="auto" w:fill="auto"/>
            <w:noWrap/>
            <w:vAlign w:val="bottom"/>
            <w:hideMark/>
          </w:tcPr>
          <w:p w:rsidR="004C1B04" w:rsidRPr="004C1B04" w:rsidRDefault="004C1B04" w:rsidP="004C1B04">
            <w:pPr>
              <w:rPr>
                <w:rFonts w:ascii="Arial" w:hAnsi="Arial" w:cs="Arial"/>
                <w:b/>
                <w:bCs/>
                <w:color w:val="000000"/>
                <w:sz w:val="22"/>
                <w:szCs w:val="22"/>
                <w:lang w:eastAsia="en-GB"/>
              </w:rPr>
            </w:pPr>
            <w:r w:rsidRPr="004C1B04">
              <w:rPr>
                <w:rFonts w:ascii="Arial" w:hAnsi="Arial" w:cs="Arial"/>
                <w:b/>
                <w:bCs/>
                <w:color w:val="000000"/>
                <w:sz w:val="22"/>
                <w:szCs w:val="22"/>
                <w:lang w:eastAsia="en-GB"/>
              </w:rPr>
              <w:t> </w:t>
            </w:r>
          </w:p>
        </w:tc>
        <w:tc>
          <w:tcPr>
            <w:tcW w:w="1571" w:type="dxa"/>
            <w:tcBorders>
              <w:top w:val="nil"/>
              <w:left w:val="single" w:sz="4" w:space="0" w:color="auto"/>
              <w:bottom w:val="single" w:sz="4" w:space="0" w:color="auto"/>
              <w:right w:val="nil"/>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0</w:t>
            </w:r>
          </w:p>
        </w:tc>
        <w:tc>
          <w:tcPr>
            <w:tcW w:w="1627" w:type="dxa"/>
            <w:tcBorders>
              <w:top w:val="nil"/>
              <w:left w:val="nil"/>
              <w:bottom w:val="single" w:sz="4" w:space="0" w:color="auto"/>
              <w:right w:val="single" w:sz="4" w:space="0" w:color="auto"/>
            </w:tcBorders>
            <w:shd w:val="clear" w:color="auto" w:fill="auto"/>
            <w:noWrap/>
            <w:vAlign w:val="bottom"/>
            <w:hideMark/>
          </w:tcPr>
          <w:p w:rsidR="004C1B04" w:rsidRPr="004C1B04" w:rsidRDefault="004C1B04" w:rsidP="004C1B04">
            <w:pPr>
              <w:jc w:val="right"/>
              <w:rPr>
                <w:rFonts w:ascii="Arial" w:hAnsi="Arial" w:cs="Arial"/>
                <w:b/>
                <w:bCs/>
                <w:color w:val="000000"/>
                <w:sz w:val="22"/>
                <w:szCs w:val="22"/>
                <w:lang w:eastAsia="en-GB"/>
              </w:rPr>
            </w:pPr>
            <w:r w:rsidRPr="004C1B04">
              <w:rPr>
                <w:rFonts w:ascii="Arial" w:hAnsi="Arial" w:cs="Arial"/>
                <w:b/>
                <w:bCs/>
                <w:color w:val="000000"/>
                <w:sz w:val="22"/>
                <w:szCs w:val="22"/>
                <w:lang w:eastAsia="en-GB"/>
              </w:rPr>
              <w:t>(679,682)</w:t>
            </w:r>
          </w:p>
        </w:tc>
      </w:tr>
    </w:tbl>
    <w:p w:rsidR="00180922" w:rsidRDefault="00180922" w:rsidP="00180922">
      <w:pPr>
        <w:ind w:left="-426"/>
        <w:rPr>
          <w:rFonts w:ascii="Arial" w:hAnsi="Arial" w:cs="Arial"/>
          <w:sz w:val="22"/>
        </w:rPr>
      </w:pPr>
    </w:p>
    <w:p w:rsidR="009C206D" w:rsidRDefault="009C206D">
      <w:pPr>
        <w:ind w:left="567"/>
        <w:rPr>
          <w:rFonts w:ascii="Arial" w:hAnsi="Arial" w:cs="Arial"/>
          <w:sz w:val="22"/>
        </w:rPr>
      </w:pPr>
    </w:p>
    <w:p w:rsidR="009B3E5C" w:rsidRDefault="009B3E5C">
      <w:pPr>
        <w:ind w:left="567"/>
        <w:rPr>
          <w:rFonts w:ascii="Arial" w:hAnsi="Arial" w:cs="Arial"/>
          <w:sz w:val="22"/>
        </w:rPr>
      </w:pPr>
    </w:p>
    <w:p w:rsidR="00180922" w:rsidRDefault="00180922">
      <w:pPr>
        <w:ind w:left="567"/>
        <w:rPr>
          <w:rFonts w:ascii="Arial" w:hAnsi="Arial" w:cs="Arial"/>
          <w:sz w:val="22"/>
        </w:rPr>
      </w:pPr>
    </w:p>
    <w:p w:rsidR="00180922" w:rsidRDefault="00180922">
      <w:pPr>
        <w:ind w:left="567"/>
        <w:rPr>
          <w:rFonts w:ascii="Arial" w:hAnsi="Arial" w:cs="Arial"/>
          <w:color w:val="003399"/>
          <w:sz w:val="22"/>
        </w:rPr>
      </w:pPr>
      <w:r w:rsidRPr="00180922">
        <w:rPr>
          <w:rFonts w:ascii="Arial" w:hAnsi="Arial" w:cs="Arial"/>
          <w:color w:val="003399"/>
          <w:sz w:val="22"/>
        </w:rPr>
        <w:t>Fair Value of Assets and Liabilities</w:t>
      </w:r>
    </w:p>
    <w:p w:rsidR="00180922" w:rsidRPr="00180922" w:rsidRDefault="00180922" w:rsidP="00180922">
      <w:pPr>
        <w:rPr>
          <w:rFonts w:ascii="Arial" w:hAnsi="Arial" w:cs="Arial"/>
          <w:color w:val="003399"/>
          <w:sz w:val="22"/>
        </w:rPr>
      </w:pPr>
    </w:p>
    <w:p w:rsidR="009B3E5C" w:rsidRDefault="009B3E5C">
      <w:pPr>
        <w:ind w:left="567"/>
        <w:rPr>
          <w:rFonts w:ascii="Arial" w:hAnsi="Arial" w:cs="Arial"/>
          <w:sz w:val="22"/>
        </w:rPr>
      </w:pPr>
      <w:r>
        <w:rPr>
          <w:rFonts w:ascii="Arial" w:hAnsi="Arial" w:cs="Arial"/>
          <w:sz w:val="22"/>
        </w:rPr>
        <w:t>Financial liabilities and assets are carried in the balance sheet at amortised cost. Their fair value can be assessed by calculating the present value of cash flows that will take place over the remaining term of the instruments, using the following assumptions.</w:t>
      </w:r>
    </w:p>
    <w:p w:rsidR="009B3E5C" w:rsidRDefault="009B3E5C">
      <w:pPr>
        <w:ind w:left="567"/>
        <w:rPr>
          <w:rFonts w:ascii="Arial" w:hAnsi="Arial" w:cs="Arial"/>
          <w:sz w:val="22"/>
        </w:rPr>
      </w:pPr>
    </w:p>
    <w:p w:rsidR="00F23FFF" w:rsidRDefault="003552BC" w:rsidP="009B3E5C">
      <w:pPr>
        <w:ind w:left="720"/>
        <w:rPr>
          <w:rFonts w:ascii="Arial" w:hAnsi="Arial" w:cs="Arial"/>
          <w:sz w:val="22"/>
        </w:rPr>
      </w:pPr>
      <w:r>
        <w:rPr>
          <w:rFonts w:ascii="Arial" w:hAnsi="Arial" w:cs="Arial"/>
          <w:sz w:val="22"/>
        </w:rPr>
        <w:t>For trade payables, bank deposits and trade receivables, being of short duration, and for long term mortgages, being at variable rates</w:t>
      </w:r>
      <w:r w:rsidR="00180922">
        <w:rPr>
          <w:rFonts w:ascii="Arial" w:hAnsi="Arial" w:cs="Arial"/>
          <w:sz w:val="22"/>
        </w:rPr>
        <w:t>,</w:t>
      </w:r>
      <w:r w:rsidR="00180922" w:rsidRPr="00180922">
        <w:rPr>
          <w:rFonts w:ascii="Arial" w:hAnsi="Arial" w:cs="Arial"/>
          <w:sz w:val="22"/>
        </w:rPr>
        <w:t xml:space="preserve"> </w:t>
      </w:r>
      <w:r>
        <w:rPr>
          <w:rFonts w:ascii="Arial" w:hAnsi="Arial" w:cs="Arial"/>
          <w:sz w:val="22"/>
        </w:rPr>
        <w:t>the carrying value in the balance sheet is considered approximate to their fair value.</w:t>
      </w:r>
    </w:p>
    <w:p w:rsidR="00F23FFF" w:rsidRDefault="00F23FFF">
      <w:pPr>
        <w:ind w:left="567"/>
        <w:rPr>
          <w:rFonts w:ascii="Arial" w:hAnsi="Arial" w:cs="Arial"/>
          <w:sz w:val="22"/>
        </w:rPr>
      </w:pPr>
    </w:p>
    <w:p w:rsidR="00F23FFF" w:rsidRDefault="003552BC" w:rsidP="009B3E5C">
      <w:pPr>
        <w:ind w:left="720"/>
        <w:rPr>
          <w:rFonts w:ascii="Arial" w:hAnsi="Arial" w:cs="Arial"/>
          <w:sz w:val="22"/>
        </w:rPr>
      </w:pPr>
      <w:r>
        <w:rPr>
          <w:rFonts w:ascii="Arial" w:hAnsi="Arial" w:cs="Arial"/>
          <w:sz w:val="22"/>
        </w:rPr>
        <w:t>For investments, which are mainly at fixed rates, fair value has not been calculated and the Code has not been complied with in this respect.</w:t>
      </w:r>
    </w:p>
    <w:p w:rsidR="00F23FFF" w:rsidRDefault="00F23FFF">
      <w:pPr>
        <w:ind w:left="567"/>
        <w:rPr>
          <w:rFonts w:ascii="Arial" w:hAnsi="Arial" w:cs="Arial"/>
          <w:sz w:val="22"/>
        </w:rPr>
      </w:pPr>
    </w:p>
    <w:p w:rsidR="00180922" w:rsidRDefault="00180922" w:rsidP="009B3E5C">
      <w:pPr>
        <w:ind w:left="720"/>
        <w:rPr>
          <w:rFonts w:ascii="Arial" w:hAnsi="Arial" w:cs="Arial"/>
          <w:sz w:val="22"/>
        </w:rPr>
      </w:pPr>
      <w:r>
        <w:rPr>
          <w:rFonts w:ascii="Arial" w:hAnsi="Arial" w:cs="Arial"/>
          <w:sz w:val="22"/>
        </w:rPr>
        <w:t>Estimated ranges of interest rates at 31 March 201</w:t>
      </w:r>
      <w:r w:rsidR="004C1B04">
        <w:rPr>
          <w:rFonts w:ascii="Arial" w:hAnsi="Arial" w:cs="Arial"/>
          <w:sz w:val="22"/>
        </w:rPr>
        <w:t>4</w:t>
      </w:r>
      <w:r>
        <w:rPr>
          <w:rFonts w:ascii="Arial" w:hAnsi="Arial" w:cs="Arial"/>
          <w:sz w:val="22"/>
        </w:rPr>
        <w:t xml:space="preserve"> of </w:t>
      </w:r>
      <w:r w:rsidR="004C1B04">
        <w:rPr>
          <w:rFonts w:ascii="Arial" w:hAnsi="Arial" w:cs="Arial"/>
          <w:sz w:val="22"/>
        </w:rPr>
        <w:t>3.36</w:t>
      </w:r>
      <w:r>
        <w:rPr>
          <w:rFonts w:ascii="Arial" w:hAnsi="Arial" w:cs="Arial"/>
          <w:sz w:val="22"/>
        </w:rPr>
        <w:t>% to 3.</w:t>
      </w:r>
      <w:r w:rsidR="004C1B04">
        <w:rPr>
          <w:rFonts w:ascii="Arial" w:hAnsi="Arial" w:cs="Arial"/>
          <w:sz w:val="22"/>
        </w:rPr>
        <w:t>37</w:t>
      </w:r>
      <w:r>
        <w:rPr>
          <w:rFonts w:ascii="Arial" w:hAnsi="Arial" w:cs="Arial"/>
          <w:sz w:val="22"/>
        </w:rPr>
        <w:t>% (</w:t>
      </w:r>
      <w:r w:rsidR="004C1B04">
        <w:rPr>
          <w:rFonts w:ascii="Arial" w:hAnsi="Arial" w:cs="Arial"/>
          <w:sz w:val="22"/>
        </w:rPr>
        <w:t>2.94</w:t>
      </w:r>
      <w:r>
        <w:rPr>
          <w:rFonts w:ascii="Arial" w:hAnsi="Arial" w:cs="Arial"/>
          <w:sz w:val="22"/>
        </w:rPr>
        <w:t>% to 3.</w:t>
      </w:r>
      <w:r w:rsidR="004C1B04">
        <w:rPr>
          <w:rFonts w:ascii="Arial" w:hAnsi="Arial" w:cs="Arial"/>
          <w:sz w:val="22"/>
        </w:rPr>
        <w:t>13</w:t>
      </w:r>
      <w:r>
        <w:rPr>
          <w:rFonts w:ascii="Arial" w:hAnsi="Arial" w:cs="Arial"/>
          <w:sz w:val="22"/>
        </w:rPr>
        <w:t>% at 31 March 201</w:t>
      </w:r>
      <w:r w:rsidR="004C1B04">
        <w:rPr>
          <w:rFonts w:ascii="Arial" w:hAnsi="Arial" w:cs="Arial"/>
          <w:sz w:val="22"/>
        </w:rPr>
        <w:t>3</w:t>
      </w:r>
      <w:r>
        <w:rPr>
          <w:rFonts w:ascii="Arial" w:hAnsi="Arial" w:cs="Arial"/>
          <w:sz w:val="22"/>
        </w:rPr>
        <w:t>) for loans from the Public Works Loans Board</w:t>
      </w:r>
      <w:r w:rsidR="009B3E5C">
        <w:rPr>
          <w:rFonts w:ascii="Arial" w:hAnsi="Arial" w:cs="Arial"/>
          <w:sz w:val="22"/>
        </w:rPr>
        <w:t xml:space="preserve"> based on premature repayment rates at that date.</w:t>
      </w:r>
    </w:p>
    <w:p w:rsidR="009B3E5C" w:rsidRDefault="009B3E5C">
      <w:pPr>
        <w:ind w:left="567"/>
        <w:rPr>
          <w:rFonts w:ascii="Arial" w:hAnsi="Arial" w:cs="Arial"/>
          <w:sz w:val="22"/>
        </w:rPr>
      </w:pPr>
    </w:p>
    <w:p w:rsidR="00F23FFF" w:rsidRDefault="003552BC">
      <w:pPr>
        <w:ind w:left="567"/>
        <w:rPr>
          <w:rFonts w:ascii="Arial" w:hAnsi="Arial" w:cs="Arial"/>
          <w:sz w:val="22"/>
        </w:rPr>
      </w:pPr>
      <w:r>
        <w:rPr>
          <w:rFonts w:ascii="Arial" w:hAnsi="Arial" w:cs="Arial"/>
          <w:sz w:val="22"/>
        </w:rPr>
        <w:t>Fair value is the amount determined by knowledgeable, willing parties in an arm’s length transaction.</w:t>
      </w:r>
    </w:p>
    <w:p w:rsidR="00F23FFF" w:rsidRDefault="00F23FFF">
      <w:pPr>
        <w:ind w:left="567"/>
        <w:rPr>
          <w:rFonts w:ascii="Arial" w:hAnsi="Arial" w:cs="Arial"/>
          <w:sz w:val="22"/>
        </w:rPr>
      </w:pPr>
    </w:p>
    <w:p w:rsidR="009B3E5C" w:rsidRDefault="009B3E5C">
      <w:pPr>
        <w:ind w:left="567"/>
        <w:rPr>
          <w:rFonts w:ascii="Arial" w:hAnsi="Arial" w:cs="Arial"/>
          <w:sz w:val="22"/>
        </w:rPr>
      </w:pPr>
      <w:r>
        <w:rPr>
          <w:rFonts w:ascii="Arial" w:hAnsi="Arial" w:cs="Arial"/>
          <w:sz w:val="22"/>
        </w:rPr>
        <w:t>The fair values are calculated as follows:</w:t>
      </w:r>
    </w:p>
    <w:p w:rsidR="009B3E5C" w:rsidRDefault="009B3E5C">
      <w:pPr>
        <w:ind w:left="567"/>
        <w:rPr>
          <w:rFonts w:ascii="Arial" w:hAnsi="Arial" w:cs="Arial"/>
          <w:sz w:val="22"/>
        </w:rPr>
      </w:pPr>
    </w:p>
    <w:p w:rsidR="004C1B04" w:rsidRDefault="004C1B04">
      <w:pPr>
        <w:ind w:left="567"/>
        <w:rPr>
          <w:rFonts w:ascii="Arial" w:hAnsi="Arial" w:cs="Arial"/>
          <w:sz w:val="22"/>
        </w:rPr>
      </w:pPr>
    </w:p>
    <w:p w:rsidR="009B3E5C" w:rsidRDefault="009B3E5C">
      <w:pPr>
        <w:ind w:left="567"/>
        <w:rPr>
          <w:rFonts w:ascii="Arial" w:hAnsi="Arial" w:cs="Arial"/>
          <w:sz w:val="22"/>
        </w:rPr>
      </w:pPr>
    </w:p>
    <w:tbl>
      <w:tblPr>
        <w:tblW w:w="8100" w:type="dxa"/>
        <w:jc w:val="center"/>
        <w:tblInd w:w="93" w:type="dxa"/>
        <w:tblLook w:val="04A0" w:firstRow="1" w:lastRow="0" w:firstColumn="1" w:lastColumn="0" w:noHBand="0" w:noVBand="1"/>
      </w:tblPr>
      <w:tblGrid>
        <w:gridCol w:w="278"/>
        <w:gridCol w:w="2620"/>
        <w:gridCol w:w="1240"/>
        <w:gridCol w:w="1240"/>
        <w:gridCol w:w="278"/>
        <w:gridCol w:w="1240"/>
        <w:gridCol w:w="1240"/>
        <w:gridCol w:w="278"/>
      </w:tblGrid>
      <w:tr w:rsidR="00740F7F" w:rsidRPr="00740F7F" w:rsidTr="00740F7F">
        <w:trPr>
          <w:trHeight w:val="300"/>
          <w:jc w:val="center"/>
        </w:trPr>
        <w:tc>
          <w:tcPr>
            <w:tcW w:w="140" w:type="dxa"/>
            <w:tcBorders>
              <w:top w:val="single" w:sz="4" w:space="0" w:color="auto"/>
              <w:left w:val="single" w:sz="4" w:space="0" w:color="auto"/>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lastRenderedPageBreak/>
              <w:t> </w:t>
            </w:r>
          </w:p>
        </w:tc>
        <w:tc>
          <w:tcPr>
            <w:tcW w:w="2620" w:type="dxa"/>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480" w:type="dxa"/>
            <w:gridSpan w:val="2"/>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31 March 2014</w:t>
            </w:r>
          </w:p>
        </w:tc>
        <w:tc>
          <w:tcPr>
            <w:tcW w:w="220" w:type="dxa"/>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 </w:t>
            </w:r>
          </w:p>
        </w:tc>
        <w:tc>
          <w:tcPr>
            <w:tcW w:w="2480" w:type="dxa"/>
            <w:gridSpan w:val="2"/>
            <w:tcBorders>
              <w:top w:val="single" w:sz="4" w:space="0" w:color="auto"/>
              <w:left w:val="nil"/>
              <w:bottom w:val="single" w:sz="4" w:space="0" w:color="auto"/>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31 March 2013</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600"/>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24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Carrying amount</w:t>
            </w:r>
          </w:p>
        </w:tc>
        <w:tc>
          <w:tcPr>
            <w:tcW w:w="124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Fair value</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 </w:t>
            </w:r>
          </w:p>
        </w:tc>
        <w:tc>
          <w:tcPr>
            <w:tcW w:w="124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Carrying amount</w:t>
            </w:r>
          </w:p>
        </w:tc>
        <w:tc>
          <w:tcPr>
            <w:tcW w:w="1240" w:type="dxa"/>
            <w:tcBorders>
              <w:top w:val="nil"/>
              <w:left w:val="nil"/>
              <w:bottom w:val="nil"/>
              <w:right w:val="nil"/>
            </w:tcBorders>
            <w:shd w:val="clear" w:color="auto" w:fill="auto"/>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Fair value</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center"/>
              <w:rPr>
                <w:rFonts w:ascii="Arial" w:hAnsi="Arial" w:cs="Arial"/>
                <w:b/>
                <w:bCs/>
                <w:color w:val="000000"/>
                <w:sz w:val="22"/>
                <w:szCs w:val="22"/>
                <w:lang w:eastAsia="en-GB"/>
              </w:rPr>
            </w:pPr>
            <w:r w:rsidRPr="00740F7F">
              <w:rPr>
                <w:rFonts w:ascii="Arial" w:hAnsi="Arial" w:cs="Arial"/>
                <w:b/>
                <w:bCs/>
                <w:color w:val="000000"/>
                <w:sz w:val="22"/>
                <w:szCs w:val="22"/>
                <w:lang w:eastAsia="en-GB"/>
              </w:rPr>
              <w:t>£,000</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675"/>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Financial liabilities at amortised cost</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570"/>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Creditors and receipts in advance</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(5,216)</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(5,216)</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(5,059)</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(5,059)</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Long term borrowing</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(205,123)</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(209,804)</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(205,123)</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(223,481)</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300"/>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b/>
                <w:bCs/>
                <w:color w:val="000000"/>
                <w:sz w:val="22"/>
                <w:szCs w:val="22"/>
                <w:lang w:eastAsia="en-GB"/>
              </w:rPr>
            </w:pPr>
            <w:r w:rsidRPr="00740F7F">
              <w:rPr>
                <w:rFonts w:ascii="Arial" w:hAnsi="Arial" w:cs="Arial"/>
                <w:b/>
                <w:bCs/>
                <w:color w:val="000000"/>
                <w:sz w:val="22"/>
                <w:szCs w:val="22"/>
                <w:lang w:eastAsia="en-GB"/>
              </w:rPr>
              <w:t>Loans and receivables</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24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Current debtors</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2,296</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2,296</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3,499</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3,499</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Current investments</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25,127</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25,127</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20,932</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20,932</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40" w:type="dxa"/>
            <w:tcBorders>
              <w:top w:val="nil"/>
              <w:left w:val="single" w:sz="4" w:space="0" w:color="auto"/>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nil"/>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Long term investments</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2,000</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2,000</w:t>
            </w:r>
          </w:p>
        </w:tc>
        <w:tc>
          <w:tcPr>
            <w:tcW w:w="22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2,000</w:t>
            </w:r>
          </w:p>
        </w:tc>
        <w:tc>
          <w:tcPr>
            <w:tcW w:w="1240" w:type="dxa"/>
            <w:tcBorders>
              <w:top w:val="nil"/>
              <w:left w:val="nil"/>
              <w:bottom w:val="nil"/>
              <w:right w:val="nil"/>
            </w:tcBorders>
            <w:shd w:val="clear" w:color="auto" w:fill="auto"/>
            <w:noWrap/>
            <w:vAlign w:val="bottom"/>
            <w:hideMark/>
          </w:tcPr>
          <w:p w:rsidR="00740F7F" w:rsidRPr="00740F7F" w:rsidRDefault="00740F7F" w:rsidP="00740F7F">
            <w:pPr>
              <w:jc w:val="right"/>
              <w:rPr>
                <w:rFonts w:ascii="Arial" w:hAnsi="Arial" w:cs="Arial"/>
                <w:color w:val="000000"/>
                <w:sz w:val="22"/>
                <w:szCs w:val="22"/>
                <w:lang w:eastAsia="en-GB"/>
              </w:rPr>
            </w:pPr>
            <w:r w:rsidRPr="00740F7F">
              <w:rPr>
                <w:rFonts w:ascii="Arial" w:hAnsi="Arial" w:cs="Arial"/>
                <w:color w:val="000000"/>
                <w:sz w:val="22"/>
                <w:szCs w:val="22"/>
                <w:lang w:eastAsia="en-GB"/>
              </w:rPr>
              <w:t>2,000</w:t>
            </w:r>
          </w:p>
        </w:tc>
        <w:tc>
          <w:tcPr>
            <w:tcW w:w="160" w:type="dxa"/>
            <w:tcBorders>
              <w:top w:val="nil"/>
              <w:left w:val="nil"/>
              <w:bottom w:val="nil"/>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r w:rsidR="00740F7F" w:rsidRPr="00740F7F" w:rsidTr="00740F7F">
        <w:trPr>
          <w:trHeight w:val="285"/>
          <w:jc w:val="center"/>
        </w:trPr>
        <w:tc>
          <w:tcPr>
            <w:tcW w:w="140" w:type="dxa"/>
            <w:tcBorders>
              <w:top w:val="nil"/>
              <w:left w:val="single" w:sz="4" w:space="0" w:color="auto"/>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62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220" w:type="dxa"/>
            <w:tcBorders>
              <w:top w:val="nil"/>
              <w:left w:val="nil"/>
              <w:bottom w:val="single" w:sz="4" w:space="0" w:color="auto"/>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240" w:type="dxa"/>
            <w:tcBorders>
              <w:top w:val="nil"/>
              <w:left w:val="nil"/>
              <w:bottom w:val="single" w:sz="4" w:space="0" w:color="auto"/>
              <w:right w:val="nil"/>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c>
          <w:tcPr>
            <w:tcW w:w="160" w:type="dxa"/>
            <w:tcBorders>
              <w:top w:val="nil"/>
              <w:left w:val="nil"/>
              <w:bottom w:val="single" w:sz="4" w:space="0" w:color="auto"/>
              <w:right w:val="single" w:sz="4" w:space="0" w:color="auto"/>
            </w:tcBorders>
            <w:shd w:val="clear" w:color="auto" w:fill="auto"/>
            <w:noWrap/>
            <w:vAlign w:val="bottom"/>
            <w:hideMark/>
          </w:tcPr>
          <w:p w:rsidR="00740F7F" w:rsidRPr="00740F7F" w:rsidRDefault="00740F7F" w:rsidP="00740F7F">
            <w:pPr>
              <w:rPr>
                <w:rFonts w:ascii="Arial" w:hAnsi="Arial" w:cs="Arial"/>
                <w:color w:val="000000"/>
                <w:sz w:val="22"/>
                <w:szCs w:val="22"/>
                <w:lang w:eastAsia="en-GB"/>
              </w:rPr>
            </w:pPr>
            <w:r w:rsidRPr="00740F7F">
              <w:rPr>
                <w:rFonts w:ascii="Arial" w:hAnsi="Arial" w:cs="Arial"/>
                <w:color w:val="000000"/>
                <w:sz w:val="22"/>
                <w:szCs w:val="22"/>
                <w:lang w:eastAsia="en-GB"/>
              </w:rPr>
              <w:t> </w:t>
            </w:r>
          </w:p>
        </w:tc>
      </w:tr>
    </w:tbl>
    <w:p w:rsidR="009B3E5C" w:rsidRDefault="009B3E5C" w:rsidP="00740F7F">
      <w:pPr>
        <w:ind w:left="567"/>
        <w:jc w:val="center"/>
        <w:rPr>
          <w:rFonts w:ascii="Arial" w:hAnsi="Arial" w:cs="Arial"/>
          <w:sz w:val="22"/>
        </w:rPr>
      </w:pPr>
    </w:p>
    <w:p w:rsidR="00310588" w:rsidRDefault="00310588">
      <w:pPr>
        <w:ind w:left="567"/>
        <w:rPr>
          <w:rFonts w:ascii="Arial" w:hAnsi="Arial" w:cs="Arial"/>
          <w:sz w:val="22"/>
        </w:rPr>
      </w:pPr>
    </w:p>
    <w:p w:rsidR="00F23FFF" w:rsidRDefault="00310588">
      <w:pPr>
        <w:ind w:left="567"/>
        <w:rPr>
          <w:rFonts w:ascii="Arial" w:hAnsi="Arial" w:cs="Arial"/>
          <w:sz w:val="22"/>
          <w:szCs w:val="22"/>
        </w:rPr>
      </w:pPr>
      <w:r w:rsidRPr="00310588">
        <w:rPr>
          <w:rFonts w:ascii="Arial" w:hAnsi="Arial" w:cs="Arial"/>
          <w:sz w:val="22"/>
          <w:szCs w:val="22"/>
        </w:rPr>
        <w:t>The</w:t>
      </w:r>
      <w:r>
        <w:rPr>
          <w:rFonts w:ascii="Arial" w:hAnsi="Arial" w:cs="Arial"/>
          <w:sz w:val="22"/>
          <w:szCs w:val="22"/>
        </w:rPr>
        <w:t xml:space="preserve"> fair value of the liabilities is greater than the carrying amount because the Council’s loan portfolio includes fixed rate loans where the interest rate payable is greater than the prevailing rates at the balance sheet date.</w:t>
      </w:r>
    </w:p>
    <w:p w:rsidR="00310588" w:rsidRPr="00310588" w:rsidRDefault="00310588">
      <w:pPr>
        <w:ind w:left="567"/>
        <w:rPr>
          <w:rFonts w:ascii="Arial" w:hAnsi="Arial" w:cs="Arial"/>
          <w:sz w:val="22"/>
          <w:szCs w:val="22"/>
        </w:rPr>
      </w:pPr>
    </w:p>
    <w:p w:rsidR="00F23FFF" w:rsidRDefault="003552BC">
      <w:pPr>
        <w:pStyle w:val="xl50"/>
        <w:tabs>
          <w:tab w:val="left" w:pos="851"/>
        </w:tabs>
        <w:spacing w:before="0" w:beforeAutospacing="0" w:after="0" w:afterAutospacing="0"/>
        <w:ind w:left="567"/>
        <w:rPr>
          <w:b w:val="0"/>
          <w:bCs w:val="0"/>
          <w:color w:val="auto"/>
          <w:sz w:val="22"/>
        </w:rPr>
      </w:pPr>
      <w:r>
        <w:rPr>
          <w:b w:val="0"/>
          <w:bCs w:val="0"/>
          <w:color w:val="auto"/>
          <w:sz w:val="22"/>
        </w:rPr>
        <w:t>The financial risks arising from financial instruments are:</w:t>
      </w:r>
    </w:p>
    <w:p w:rsidR="001C6A9D" w:rsidRDefault="001C6A9D">
      <w:pPr>
        <w:pStyle w:val="xl50"/>
        <w:tabs>
          <w:tab w:val="left" w:pos="851"/>
        </w:tabs>
        <w:spacing w:before="0" w:beforeAutospacing="0" w:after="0" w:afterAutospacing="0"/>
        <w:ind w:left="567"/>
        <w:rPr>
          <w:rFonts w:eastAsia="Times New Roman"/>
          <w:b w:val="0"/>
          <w:bCs w:val="0"/>
          <w:color w:val="auto"/>
          <w:sz w:val="22"/>
          <w:szCs w:val="20"/>
        </w:rPr>
      </w:pPr>
    </w:p>
    <w:p w:rsidR="001C6A9D" w:rsidRDefault="001C6A9D">
      <w:pPr>
        <w:pStyle w:val="xl50"/>
        <w:tabs>
          <w:tab w:val="left" w:pos="851"/>
        </w:tabs>
        <w:spacing w:before="0" w:beforeAutospacing="0" w:after="0" w:afterAutospacing="0"/>
        <w:ind w:left="567"/>
        <w:rPr>
          <w:rFonts w:eastAsia="Times New Roman"/>
          <w:b w:val="0"/>
          <w:bCs w:val="0"/>
          <w:color w:val="auto"/>
          <w:sz w:val="22"/>
          <w:szCs w:val="20"/>
        </w:rPr>
      </w:pPr>
    </w:p>
    <w:p w:rsidR="00F23FFF" w:rsidRDefault="003552BC">
      <w:pPr>
        <w:pStyle w:val="xl50"/>
        <w:tabs>
          <w:tab w:val="left" w:pos="851"/>
        </w:tabs>
        <w:spacing w:before="0" w:beforeAutospacing="0" w:after="0" w:afterAutospacing="0"/>
        <w:ind w:left="567"/>
        <w:rPr>
          <w:rFonts w:eastAsia="Times New Roman"/>
          <w:b w:val="0"/>
          <w:color w:val="auto"/>
          <w:sz w:val="22"/>
          <w:szCs w:val="20"/>
        </w:rPr>
      </w:pPr>
      <w:r>
        <w:rPr>
          <w:rFonts w:eastAsia="Times New Roman"/>
          <w:b w:val="0"/>
          <w:color w:val="auto"/>
          <w:sz w:val="22"/>
          <w:szCs w:val="20"/>
        </w:rPr>
        <w:t>a)</w:t>
      </w:r>
      <w:r>
        <w:rPr>
          <w:rFonts w:eastAsia="Times New Roman"/>
          <w:b w:val="0"/>
          <w:color w:val="auto"/>
          <w:sz w:val="22"/>
          <w:szCs w:val="20"/>
        </w:rPr>
        <w:tab/>
      </w:r>
      <w:r>
        <w:rPr>
          <w:rFonts w:eastAsia="Times New Roman"/>
          <w:bCs w:val="0"/>
          <w:color w:val="auto"/>
          <w:sz w:val="22"/>
          <w:szCs w:val="20"/>
        </w:rPr>
        <w:t>Credit Risk</w:t>
      </w:r>
    </w:p>
    <w:p w:rsidR="00F23FFF" w:rsidRDefault="00F23FFF">
      <w:pPr>
        <w:ind w:left="567"/>
        <w:rPr>
          <w:rFonts w:ascii="Arial" w:hAnsi="Arial" w:cs="Arial"/>
          <w:b/>
          <w:color w:val="000080"/>
          <w:sz w:val="22"/>
        </w:rPr>
      </w:pPr>
    </w:p>
    <w:p w:rsidR="004C1B04" w:rsidRDefault="003552BC">
      <w:pPr>
        <w:ind w:left="567"/>
        <w:rPr>
          <w:rFonts w:ascii="Arial" w:hAnsi="Arial" w:cs="Arial"/>
          <w:bCs/>
          <w:sz w:val="22"/>
        </w:rPr>
      </w:pPr>
      <w:r>
        <w:rPr>
          <w:rFonts w:ascii="Arial" w:hAnsi="Arial" w:cs="Arial"/>
          <w:bCs/>
          <w:sz w:val="22"/>
        </w:rPr>
        <w:t>Credit risk arises from deposits with banks and financial institutions, as well as credit exposures to the Council’s customers. Deposits are only made with banks and financial institutions which are included as counterparties in the Council’s Investment Strategy, which regards the successful identification, monitoring and control of risk to be the prime criteria. The Council has a policy of tiered maximum investments with the up-most limit not more than £</w:t>
      </w:r>
      <w:r w:rsidR="004C1B04">
        <w:rPr>
          <w:rFonts w:ascii="Arial" w:hAnsi="Arial" w:cs="Arial"/>
          <w:bCs/>
          <w:sz w:val="22"/>
        </w:rPr>
        <w:t>7.5</w:t>
      </w:r>
      <w:r>
        <w:rPr>
          <w:rFonts w:ascii="Arial" w:hAnsi="Arial" w:cs="Arial"/>
          <w:bCs/>
          <w:sz w:val="22"/>
        </w:rPr>
        <w:t xml:space="preserve"> million of its surplus </w:t>
      </w:r>
      <w:r w:rsidR="007C31BA">
        <w:rPr>
          <w:rFonts w:ascii="Arial" w:hAnsi="Arial" w:cs="Arial"/>
          <w:bCs/>
          <w:sz w:val="22"/>
        </w:rPr>
        <w:t>balances to any on</w:t>
      </w:r>
      <w:r w:rsidR="004C1B04">
        <w:rPr>
          <w:rFonts w:ascii="Arial" w:hAnsi="Arial" w:cs="Arial"/>
          <w:bCs/>
          <w:sz w:val="22"/>
        </w:rPr>
        <w:t>e institution.</w:t>
      </w:r>
      <w:r w:rsidR="007C31BA">
        <w:rPr>
          <w:rFonts w:ascii="Arial" w:hAnsi="Arial" w:cs="Arial"/>
          <w:bCs/>
          <w:sz w:val="22"/>
        </w:rPr>
        <w:t xml:space="preserve"> </w:t>
      </w:r>
    </w:p>
    <w:p w:rsidR="00F23FFF" w:rsidRDefault="003552BC">
      <w:pPr>
        <w:ind w:left="567"/>
        <w:rPr>
          <w:rFonts w:ascii="Arial" w:hAnsi="Arial" w:cs="Arial"/>
          <w:bCs/>
          <w:sz w:val="22"/>
        </w:rPr>
      </w:pPr>
      <w:r>
        <w:rPr>
          <w:rFonts w:ascii="Arial" w:hAnsi="Arial" w:cs="Arial"/>
          <w:bCs/>
          <w:sz w:val="22"/>
        </w:rPr>
        <w:t>With no historical experience of default, the exposure to credit risk on bank deposits and investments is not considered material. The main exposure to credit risk relates to housing rents where a provision for bad debts is made.</w:t>
      </w:r>
    </w:p>
    <w:p w:rsidR="00F23FFF" w:rsidRDefault="00F23FFF">
      <w:pPr>
        <w:ind w:left="567"/>
        <w:rPr>
          <w:rFonts w:ascii="Arial" w:hAnsi="Arial" w:cs="Arial"/>
          <w:bCs/>
          <w:sz w:val="22"/>
        </w:rPr>
      </w:pPr>
    </w:p>
    <w:p w:rsidR="00F23FFF" w:rsidRDefault="003552BC">
      <w:pPr>
        <w:ind w:left="567"/>
        <w:rPr>
          <w:rFonts w:ascii="Arial" w:hAnsi="Arial" w:cs="Arial"/>
          <w:bCs/>
          <w:sz w:val="22"/>
        </w:rPr>
      </w:pPr>
      <w:r>
        <w:rPr>
          <w:rFonts w:ascii="Arial" w:hAnsi="Arial" w:cs="Arial"/>
          <w:bCs/>
          <w:sz w:val="22"/>
        </w:rPr>
        <w:t xml:space="preserve">Where sums are owed by the Council’s customers and contractual debtors </w:t>
      </w:r>
      <w:r>
        <w:rPr>
          <w:rFonts w:ascii="Arial" w:hAnsi="Arial" w:cs="Arial"/>
          <w:sz w:val="22"/>
        </w:rPr>
        <w:t>the Council makes provision for doubtful debt</w:t>
      </w:r>
      <w:r w:rsidR="0043681F">
        <w:rPr>
          <w:rFonts w:ascii="Arial" w:hAnsi="Arial" w:cs="Arial"/>
          <w:sz w:val="22"/>
        </w:rPr>
        <w:t>, detailed in Note 32,</w:t>
      </w:r>
      <w:r>
        <w:rPr>
          <w:rFonts w:ascii="Arial" w:hAnsi="Arial" w:cs="Arial"/>
          <w:sz w:val="22"/>
        </w:rPr>
        <w:t xml:space="preserve"> based on an assessment of the risks for each type and the age of those debts, the Council does not generally extend credit beyond 21 days.</w:t>
      </w:r>
    </w:p>
    <w:p w:rsidR="00F23FFF" w:rsidRDefault="00F23FFF">
      <w:pPr>
        <w:ind w:left="567"/>
        <w:rPr>
          <w:rFonts w:ascii="Arial" w:hAnsi="Arial" w:cs="Arial"/>
          <w:bCs/>
          <w:sz w:val="22"/>
        </w:rPr>
      </w:pPr>
    </w:p>
    <w:p w:rsidR="001C6A9D" w:rsidRPr="0043681F" w:rsidRDefault="0043681F" w:rsidP="0043681F">
      <w:pPr>
        <w:ind w:left="426"/>
        <w:rPr>
          <w:rFonts w:ascii="Arial" w:hAnsi="Arial" w:cs="Arial"/>
          <w:bCs/>
          <w:sz w:val="22"/>
        </w:rPr>
      </w:pPr>
      <w:r>
        <w:rPr>
          <w:rFonts w:ascii="Arial" w:hAnsi="Arial" w:cs="Arial"/>
          <w:bCs/>
          <w:sz w:val="22"/>
        </w:rPr>
        <w:t xml:space="preserve">   b) </w:t>
      </w:r>
      <w:r w:rsidRPr="0043681F">
        <w:rPr>
          <w:rFonts w:ascii="Arial" w:hAnsi="Arial" w:cs="Arial"/>
          <w:b/>
          <w:bCs/>
          <w:sz w:val="22"/>
        </w:rPr>
        <w:t>Financial assets that are either past due or impaired</w:t>
      </w:r>
    </w:p>
    <w:p w:rsidR="0043681F" w:rsidRDefault="0043681F" w:rsidP="0043681F">
      <w:pPr>
        <w:pStyle w:val="ListParagraph"/>
        <w:ind w:left="786"/>
        <w:rPr>
          <w:rFonts w:ascii="Arial" w:hAnsi="Arial" w:cs="Arial"/>
          <w:bCs/>
          <w:sz w:val="22"/>
        </w:rPr>
      </w:pPr>
      <w:r>
        <w:rPr>
          <w:rFonts w:ascii="Arial" w:hAnsi="Arial" w:cs="Arial"/>
          <w:bCs/>
          <w:sz w:val="22"/>
        </w:rPr>
        <w:t xml:space="preserve"> </w:t>
      </w:r>
    </w:p>
    <w:p w:rsidR="0043681F" w:rsidRDefault="0043681F" w:rsidP="0043681F">
      <w:pPr>
        <w:pStyle w:val="ListParagraph"/>
        <w:ind w:left="786"/>
        <w:rPr>
          <w:rFonts w:ascii="Arial" w:hAnsi="Arial" w:cs="Arial"/>
          <w:bCs/>
          <w:sz w:val="22"/>
        </w:rPr>
      </w:pPr>
      <w:r>
        <w:rPr>
          <w:rFonts w:ascii="Arial" w:hAnsi="Arial" w:cs="Arial"/>
          <w:bCs/>
          <w:sz w:val="22"/>
        </w:rPr>
        <w:t xml:space="preserve">There are no </w:t>
      </w:r>
      <w:r w:rsidR="00D449D7">
        <w:rPr>
          <w:rFonts w:ascii="Arial" w:hAnsi="Arial" w:cs="Arial"/>
          <w:bCs/>
          <w:sz w:val="22"/>
        </w:rPr>
        <w:t xml:space="preserve">impaired </w:t>
      </w:r>
      <w:r>
        <w:rPr>
          <w:rFonts w:ascii="Arial" w:hAnsi="Arial" w:cs="Arial"/>
          <w:bCs/>
          <w:sz w:val="22"/>
        </w:rPr>
        <w:t>financi</w:t>
      </w:r>
      <w:r w:rsidR="00D449D7">
        <w:rPr>
          <w:rFonts w:ascii="Arial" w:hAnsi="Arial" w:cs="Arial"/>
          <w:bCs/>
          <w:sz w:val="22"/>
        </w:rPr>
        <w:t>al assets or material past due financial assets.</w:t>
      </w:r>
    </w:p>
    <w:p w:rsidR="00D449D7" w:rsidRPr="0043681F" w:rsidRDefault="00D449D7" w:rsidP="0043681F">
      <w:pPr>
        <w:pStyle w:val="ListParagraph"/>
        <w:ind w:left="786"/>
        <w:rPr>
          <w:rFonts w:ascii="Arial" w:hAnsi="Arial" w:cs="Arial"/>
          <w:bCs/>
          <w:sz w:val="22"/>
        </w:rPr>
      </w:pPr>
    </w:p>
    <w:p w:rsidR="00F23FFF" w:rsidRDefault="0043681F">
      <w:pPr>
        <w:pStyle w:val="xl50"/>
        <w:tabs>
          <w:tab w:val="left" w:pos="851"/>
        </w:tabs>
        <w:spacing w:before="0" w:beforeAutospacing="0" w:after="0" w:afterAutospacing="0"/>
        <w:ind w:left="567"/>
        <w:rPr>
          <w:rFonts w:eastAsia="Times New Roman"/>
          <w:b w:val="0"/>
          <w:color w:val="auto"/>
          <w:sz w:val="22"/>
          <w:szCs w:val="20"/>
        </w:rPr>
      </w:pPr>
      <w:r>
        <w:rPr>
          <w:rFonts w:eastAsia="Times New Roman"/>
          <w:b w:val="0"/>
          <w:color w:val="auto"/>
          <w:sz w:val="22"/>
          <w:szCs w:val="20"/>
        </w:rPr>
        <w:t>c</w:t>
      </w:r>
      <w:r w:rsidR="003552BC">
        <w:rPr>
          <w:rFonts w:eastAsia="Times New Roman"/>
          <w:b w:val="0"/>
          <w:color w:val="auto"/>
          <w:sz w:val="22"/>
          <w:szCs w:val="20"/>
        </w:rPr>
        <w:t>)</w:t>
      </w:r>
      <w:r w:rsidR="003552BC">
        <w:rPr>
          <w:rFonts w:eastAsia="Times New Roman"/>
          <w:b w:val="0"/>
          <w:color w:val="auto"/>
          <w:sz w:val="22"/>
          <w:szCs w:val="20"/>
        </w:rPr>
        <w:tab/>
      </w:r>
      <w:r w:rsidR="003552BC">
        <w:rPr>
          <w:rFonts w:eastAsia="Times New Roman"/>
          <w:bCs w:val="0"/>
          <w:color w:val="auto"/>
          <w:sz w:val="22"/>
          <w:szCs w:val="20"/>
        </w:rPr>
        <w:t>Liquidity Risk</w:t>
      </w:r>
    </w:p>
    <w:p w:rsidR="00F23FFF" w:rsidRDefault="00F23FFF">
      <w:pPr>
        <w:ind w:left="567"/>
        <w:rPr>
          <w:rFonts w:ascii="Arial" w:hAnsi="Arial" w:cs="Arial"/>
          <w:bCs/>
          <w:sz w:val="22"/>
        </w:rPr>
      </w:pPr>
    </w:p>
    <w:p w:rsidR="00F23FFF" w:rsidRDefault="003552BC">
      <w:pPr>
        <w:ind w:left="567"/>
        <w:rPr>
          <w:rFonts w:ascii="Arial" w:hAnsi="Arial" w:cs="Arial"/>
          <w:bCs/>
          <w:sz w:val="22"/>
        </w:rPr>
      </w:pPr>
      <w:r>
        <w:rPr>
          <w:rFonts w:ascii="Arial" w:hAnsi="Arial" w:cs="Arial"/>
          <w:bCs/>
          <w:sz w:val="22"/>
        </w:rPr>
        <w:t>All trade and other payables are due to be paid in less than one year.</w:t>
      </w:r>
      <w:r w:rsidR="00A12AC4">
        <w:rPr>
          <w:rFonts w:ascii="Arial" w:hAnsi="Arial" w:cs="Arial"/>
          <w:bCs/>
          <w:sz w:val="22"/>
        </w:rPr>
        <w:t xml:space="preserve"> The PWLB loans have maturities of between 25 and 4</w:t>
      </w:r>
      <w:r w:rsidR="005B7AD2">
        <w:rPr>
          <w:rFonts w:ascii="Arial" w:hAnsi="Arial" w:cs="Arial"/>
          <w:bCs/>
          <w:sz w:val="22"/>
        </w:rPr>
        <w:t>5</w:t>
      </w:r>
      <w:r w:rsidR="00A12AC4">
        <w:rPr>
          <w:rFonts w:ascii="Arial" w:hAnsi="Arial" w:cs="Arial"/>
          <w:bCs/>
          <w:sz w:val="22"/>
        </w:rPr>
        <w:t xml:space="preserve"> years</w:t>
      </w:r>
      <w:r w:rsidR="0043681F">
        <w:rPr>
          <w:rFonts w:ascii="Arial" w:hAnsi="Arial" w:cs="Arial"/>
          <w:bCs/>
          <w:sz w:val="22"/>
        </w:rPr>
        <w:t xml:space="preserve"> as detailed in Note 39</w:t>
      </w:r>
      <w:r w:rsidR="00A12AC4">
        <w:rPr>
          <w:rFonts w:ascii="Arial" w:hAnsi="Arial" w:cs="Arial"/>
          <w:bCs/>
          <w:sz w:val="22"/>
        </w:rPr>
        <w:t>, interest being paid half yearly, a Repayment Reserve being used to manage the future repayment of principal.</w:t>
      </w:r>
    </w:p>
    <w:p w:rsidR="00A12AC4" w:rsidRDefault="00A12AC4">
      <w:pPr>
        <w:ind w:left="567"/>
        <w:rPr>
          <w:rFonts w:ascii="Arial" w:hAnsi="Arial" w:cs="Arial"/>
          <w:bCs/>
          <w:sz w:val="22"/>
        </w:rPr>
      </w:pPr>
    </w:p>
    <w:p w:rsidR="004C1B04" w:rsidRDefault="004C1B04">
      <w:pPr>
        <w:ind w:left="567"/>
        <w:rPr>
          <w:rFonts w:ascii="Arial" w:hAnsi="Arial" w:cs="Arial"/>
          <w:bCs/>
          <w:sz w:val="22"/>
        </w:rPr>
      </w:pPr>
    </w:p>
    <w:p w:rsidR="00F23FFF" w:rsidRDefault="0043681F">
      <w:pPr>
        <w:pStyle w:val="xl50"/>
        <w:tabs>
          <w:tab w:val="left" w:pos="851"/>
        </w:tabs>
        <w:spacing w:before="0" w:beforeAutospacing="0" w:after="0" w:afterAutospacing="0"/>
        <w:ind w:left="567"/>
        <w:rPr>
          <w:rFonts w:eastAsia="Times New Roman"/>
          <w:b w:val="0"/>
          <w:color w:val="auto"/>
          <w:sz w:val="22"/>
          <w:szCs w:val="20"/>
        </w:rPr>
      </w:pPr>
      <w:r>
        <w:rPr>
          <w:rFonts w:eastAsia="Times New Roman"/>
          <w:b w:val="0"/>
          <w:color w:val="auto"/>
          <w:sz w:val="22"/>
          <w:szCs w:val="20"/>
        </w:rPr>
        <w:lastRenderedPageBreak/>
        <w:t>d</w:t>
      </w:r>
      <w:r w:rsidR="003552BC">
        <w:rPr>
          <w:rFonts w:eastAsia="Times New Roman"/>
          <w:b w:val="0"/>
          <w:color w:val="auto"/>
          <w:sz w:val="22"/>
          <w:szCs w:val="20"/>
        </w:rPr>
        <w:t>)</w:t>
      </w:r>
      <w:r w:rsidR="003552BC">
        <w:rPr>
          <w:rFonts w:eastAsia="Times New Roman"/>
          <w:b w:val="0"/>
          <w:color w:val="auto"/>
          <w:sz w:val="22"/>
          <w:szCs w:val="20"/>
        </w:rPr>
        <w:tab/>
      </w:r>
      <w:r w:rsidR="003552BC">
        <w:rPr>
          <w:rFonts w:eastAsia="Times New Roman"/>
          <w:bCs w:val="0"/>
          <w:color w:val="auto"/>
          <w:sz w:val="22"/>
          <w:szCs w:val="20"/>
        </w:rPr>
        <w:t>Market Risk</w:t>
      </w:r>
    </w:p>
    <w:p w:rsidR="00F23FFF" w:rsidRDefault="00F23FFF">
      <w:pPr>
        <w:ind w:left="567"/>
        <w:rPr>
          <w:rFonts w:ascii="Arial" w:hAnsi="Arial" w:cs="Arial"/>
          <w:bCs/>
          <w:sz w:val="22"/>
        </w:rPr>
      </w:pPr>
    </w:p>
    <w:p w:rsidR="00F23FFF" w:rsidRDefault="003552BC">
      <w:pPr>
        <w:ind w:left="567"/>
        <w:rPr>
          <w:rFonts w:ascii="Arial" w:hAnsi="Arial" w:cs="Arial"/>
          <w:bCs/>
          <w:sz w:val="22"/>
        </w:rPr>
      </w:pPr>
      <w:r>
        <w:rPr>
          <w:rFonts w:ascii="Arial" w:hAnsi="Arial" w:cs="Arial"/>
          <w:bCs/>
          <w:sz w:val="22"/>
        </w:rPr>
        <w:t>The Council is exposed to risk in terms of its exposure to interest rate movements on its investments as most investments are at fixed rates. Movement in interest rates can have an impact on the Council’s interest receipts from investments; for example, a rise in interest rates would have the following effects:</w:t>
      </w:r>
    </w:p>
    <w:p w:rsidR="00F23FFF" w:rsidRDefault="00F23FFF">
      <w:pPr>
        <w:ind w:left="567"/>
        <w:rPr>
          <w:rFonts w:ascii="Arial" w:hAnsi="Arial" w:cs="Arial"/>
          <w:bCs/>
          <w:sz w:val="22"/>
        </w:rPr>
      </w:pPr>
    </w:p>
    <w:p w:rsidR="00F23FFF" w:rsidRDefault="003552BC">
      <w:pPr>
        <w:ind w:left="567"/>
        <w:rPr>
          <w:rFonts w:ascii="Arial" w:hAnsi="Arial" w:cs="Arial"/>
          <w:bCs/>
          <w:sz w:val="22"/>
        </w:rPr>
      </w:pPr>
      <w:r>
        <w:rPr>
          <w:rFonts w:ascii="Arial" w:hAnsi="Arial" w:cs="Arial"/>
          <w:bCs/>
          <w:sz w:val="22"/>
        </w:rPr>
        <w:t>Investments at variable rates – the interest income credited to the Income and Expenditure Account will rise</w:t>
      </w:r>
    </w:p>
    <w:p w:rsidR="00F23FFF" w:rsidRDefault="003552BC">
      <w:pPr>
        <w:ind w:left="567"/>
        <w:rPr>
          <w:rFonts w:ascii="Arial" w:hAnsi="Arial" w:cs="Arial"/>
          <w:bCs/>
          <w:sz w:val="22"/>
        </w:rPr>
      </w:pPr>
      <w:r>
        <w:rPr>
          <w:rFonts w:ascii="Arial" w:hAnsi="Arial" w:cs="Arial"/>
          <w:bCs/>
          <w:sz w:val="22"/>
        </w:rPr>
        <w:t>Investments at fixed rates – the fair value of the assets will fall (but the carrying amount will not change)</w:t>
      </w:r>
    </w:p>
    <w:p w:rsidR="00F23FFF" w:rsidRDefault="003552BC">
      <w:pPr>
        <w:ind w:left="567"/>
        <w:rPr>
          <w:rFonts w:ascii="Arial" w:hAnsi="Arial" w:cs="Arial"/>
          <w:bCs/>
          <w:sz w:val="22"/>
        </w:rPr>
      </w:pPr>
      <w:r>
        <w:rPr>
          <w:rFonts w:ascii="Arial" w:hAnsi="Arial" w:cs="Arial"/>
          <w:bCs/>
          <w:sz w:val="22"/>
        </w:rPr>
        <w:tab/>
      </w:r>
    </w:p>
    <w:p w:rsidR="00F23FFF" w:rsidRDefault="003552BC">
      <w:pPr>
        <w:ind w:left="567"/>
        <w:rPr>
          <w:rFonts w:ascii="Arial" w:hAnsi="Arial" w:cs="Arial"/>
          <w:bCs/>
          <w:sz w:val="22"/>
        </w:rPr>
      </w:pPr>
      <w:r>
        <w:rPr>
          <w:rFonts w:ascii="Arial" w:hAnsi="Arial" w:cs="Arial"/>
          <w:bCs/>
          <w:sz w:val="22"/>
        </w:rPr>
        <w:t>As most investments are at fixed rates, a sensitivity analysis for interest rate changes has not been carried out.</w:t>
      </w:r>
    </w:p>
    <w:p w:rsidR="00F23FFF" w:rsidRDefault="00F23FFF">
      <w:pPr>
        <w:ind w:left="567"/>
        <w:rPr>
          <w:rFonts w:ascii="Arial" w:hAnsi="Arial" w:cs="Arial"/>
          <w:bCs/>
          <w:sz w:val="22"/>
        </w:rPr>
      </w:pPr>
    </w:p>
    <w:p w:rsidR="00F23FFF" w:rsidRDefault="003552BC">
      <w:pPr>
        <w:ind w:left="567"/>
        <w:rPr>
          <w:rFonts w:ascii="Arial" w:hAnsi="Arial" w:cs="Arial"/>
          <w:bCs/>
          <w:sz w:val="22"/>
        </w:rPr>
      </w:pPr>
      <w:r>
        <w:rPr>
          <w:rFonts w:ascii="Arial" w:hAnsi="Arial" w:cs="Arial"/>
          <w:bCs/>
          <w:sz w:val="22"/>
        </w:rPr>
        <w:t>The treasury management team has an active strategy for assessing interest rate exposure that feeds into the setting of the annual budget which is used to update the Council’s medium term financial strategy periodically during the year, this allows any adverse changes to be accommodated.</w:t>
      </w:r>
    </w:p>
    <w:p w:rsidR="00F23FFF" w:rsidRDefault="003552BC">
      <w:pPr>
        <w:ind w:left="567"/>
        <w:rPr>
          <w:rFonts w:ascii="Arial" w:hAnsi="Arial" w:cs="Arial"/>
          <w:bCs/>
          <w:color w:val="000080"/>
          <w:sz w:val="24"/>
        </w:rPr>
      </w:pPr>
      <w:r>
        <w:rPr>
          <w:rFonts w:ascii="Arial" w:hAnsi="Arial" w:cs="Arial"/>
          <w:bCs/>
          <w:sz w:val="22"/>
        </w:rPr>
        <w:t xml:space="preserve">Price risk and foreign exchange risk are not applicable. </w:t>
      </w:r>
    </w:p>
    <w:p w:rsidR="00F23FFF" w:rsidRDefault="00F23FFF">
      <w:pPr>
        <w:rPr>
          <w:rFonts w:ascii="Arial" w:hAnsi="Arial" w:cs="Arial"/>
          <w:bCs/>
          <w:color w:val="000080"/>
          <w:sz w:val="24"/>
        </w:rPr>
      </w:pPr>
    </w:p>
    <w:p w:rsidR="00F22518" w:rsidRDefault="00F22518">
      <w:pPr>
        <w:rPr>
          <w:rFonts w:ascii="Arial" w:hAnsi="Arial" w:cs="Arial"/>
          <w:bCs/>
          <w:color w:val="000080"/>
          <w:sz w:val="24"/>
        </w:rPr>
      </w:pPr>
    </w:p>
    <w:p w:rsidR="00F22518" w:rsidRDefault="00F22518">
      <w:pPr>
        <w:rPr>
          <w:rFonts w:ascii="Arial" w:hAnsi="Arial" w:cs="Arial"/>
          <w:bCs/>
          <w:color w:val="000080"/>
          <w:sz w:val="24"/>
        </w:rPr>
      </w:pPr>
    </w:p>
    <w:p w:rsidR="00B47FEF" w:rsidRDefault="00B47FEF">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1C6A9D" w:rsidRDefault="001C6A9D">
      <w:pPr>
        <w:rPr>
          <w:rFonts w:ascii="Arial" w:hAnsi="Arial" w:cs="Arial"/>
          <w:bCs/>
          <w:color w:val="000080"/>
          <w:sz w:val="24"/>
        </w:rPr>
      </w:pPr>
    </w:p>
    <w:p w:rsidR="00310588" w:rsidRDefault="00310588">
      <w:pPr>
        <w:rPr>
          <w:rFonts w:ascii="Arial" w:hAnsi="Arial" w:cs="Arial"/>
          <w:bCs/>
          <w:color w:val="000080"/>
          <w:sz w:val="24"/>
        </w:rPr>
      </w:pPr>
    </w:p>
    <w:p w:rsidR="00310588" w:rsidRDefault="00310588">
      <w:pPr>
        <w:rPr>
          <w:rFonts w:ascii="Arial" w:hAnsi="Arial" w:cs="Arial"/>
          <w:bCs/>
          <w:color w:val="000080"/>
          <w:sz w:val="24"/>
        </w:rPr>
      </w:pPr>
    </w:p>
    <w:p w:rsidR="004C1B04" w:rsidRDefault="004C1B04">
      <w:pPr>
        <w:rPr>
          <w:rFonts w:ascii="Arial" w:hAnsi="Arial" w:cs="Arial"/>
          <w:bCs/>
          <w:color w:val="000080"/>
          <w:sz w:val="24"/>
        </w:rPr>
      </w:pPr>
    </w:p>
    <w:p w:rsidR="00310588" w:rsidRDefault="00310588">
      <w:pPr>
        <w:rPr>
          <w:rFonts w:ascii="Arial" w:hAnsi="Arial" w:cs="Arial"/>
          <w:bCs/>
          <w:color w:val="000080"/>
          <w:sz w:val="24"/>
        </w:rPr>
      </w:pPr>
    </w:p>
    <w:p w:rsidR="00310588" w:rsidRDefault="00310588">
      <w:pPr>
        <w:rPr>
          <w:rFonts w:ascii="Arial" w:hAnsi="Arial" w:cs="Arial"/>
          <w:bCs/>
          <w:color w:val="000080"/>
          <w:sz w:val="24"/>
        </w:rPr>
      </w:pPr>
    </w:p>
    <w:p w:rsidR="00310588" w:rsidRDefault="00310588">
      <w:pPr>
        <w:rPr>
          <w:rFonts w:ascii="Arial" w:hAnsi="Arial" w:cs="Arial"/>
          <w:bCs/>
          <w:color w:val="000080"/>
          <w:sz w:val="24"/>
        </w:rPr>
      </w:pPr>
    </w:p>
    <w:p w:rsidR="00310588" w:rsidRDefault="00310588">
      <w:pPr>
        <w:rPr>
          <w:rFonts w:ascii="Arial" w:hAnsi="Arial" w:cs="Arial"/>
          <w:bCs/>
          <w:color w:val="000080"/>
          <w:sz w:val="24"/>
        </w:rPr>
      </w:pPr>
    </w:p>
    <w:p w:rsidR="00310588" w:rsidRDefault="00310588">
      <w:pPr>
        <w:rPr>
          <w:rFonts w:ascii="Arial" w:hAnsi="Arial" w:cs="Arial"/>
          <w:bCs/>
          <w:color w:val="000080"/>
          <w:sz w:val="24"/>
        </w:rPr>
      </w:pPr>
    </w:p>
    <w:p w:rsidR="005E331A" w:rsidRDefault="005E331A">
      <w:pPr>
        <w:rPr>
          <w:rFonts w:ascii="Arial" w:hAnsi="Arial" w:cs="Arial"/>
          <w:bCs/>
          <w:color w:val="000080"/>
          <w:sz w:val="24"/>
        </w:rPr>
      </w:pPr>
    </w:p>
    <w:p w:rsidR="00310588" w:rsidRDefault="00310588">
      <w:pPr>
        <w:rPr>
          <w:rFonts w:ascii="Arial" w:hAnsi="Arial" w:cs="Arial"/>
          <w:bCs/>
          <w:color w:val="000080"/>
          <w:sz w:val="24"/>
        </w:rPr>
      </w:pPr>
    </w:p>
    <w:p w:rsidR="00F23FFF" w:rsidRDefault="003552BC">
      <w:pPr>
        <w:pStyle w:val="xl50"/>
        <w:spacing w:before="0" w:beforeAutospacing="0" w:after="0" w:afterAutospacing="0"/>
        <w:rPr>
          <w:rFonts w:eastAsia="Times New Roman"/>
          <w:szCs w:val="20"/>
        </w:rPr>
      </w:pPr>
      <w:r>
        <w:rPr>
          <w:rFonts w:eastAsia="Times New Roman"/>
          <w:szCs w:val="20"/>
        </w:rPr>
        <w:lastRenderedPageBreak/>
        <w:t>3</w:t>
      </w:r>
      <w:r w:rsidR="00672827">
        <w:rPr>
          <w:rFonts w:eastAsia="Times New Roman"/>
          <w:szCs w:val="20"/>
        </w:rPr>
        <w:t>8</w:t>
      </w:r>
      <w:r>
        <w:rPr>
          <w:rFonts w:eastAsia="Times New Roman"/>
          <w:szCs w:val="20"/>
        </w:rPr>
        <w:t xml:space="preserve"> Nature and extent of risks arising from Financial Instruments</w:t>
      </w:r>
    </w:p>
    <w:p w:rsidR="00F23FFF" w:rsidRDefault="00F23FFF">
      <w:pPr>
        <w:rPr>
          <w:rFonts w:ascii="Arial" w:hAnsi="Arial" w:cs="Arial"/>
          <w:sz w:val="22"/>
        </w:rPr>
      </w:pPr>
    </w:p>
    <w:p w:rsidR="00F23FFF" w:rsidRDefault="003552BC" w:rsidP="00800D27">
      <w:pPr>
        <w:pStyle w:val="BodyText"/>
        <w:jc w:val="left"/>
        <w:rPr>
          <w:rFonts w:ascii="Arial" w:hAnsi="Arial" w:cs="Arial"/>
          <w:sz w:val="22"/>
        </w:rPr>
      </w:pPr>
      <w:r>
        <w:rPr>
          <w:rFonts w:ascii="Arial" w:hAnsi="Arial" w:cs="Arial"/>
          <w:sz w:val="22"/>
        </w:rPr>
        <w:t>Credit risk arises from investments with banks and other financial institutions, as well as credit exposures to the Council’s customers.</w:t>
      </w:r>
    </w:p>
    <w:p w:rsidR="00800D27" w:rsidRDefault="00800D27" w:rsidP="00800D27">
      <w:pPr>
        <w:pStyle w:val="BodyText"/>
        <w:jc w:val="left"/>
        <w:rPr>
          <w:rFonts w:ascii="Arial" w:hAnsi="Arial" w:cs="Arial"/>
          <w:sz w:val="22"/>
        </w:rPr>
      </w:pPr>
    </w:p>
    <w:p w:rsidR="00800D27" w:rsidRDefault="00800D27" w:rsidP="00800D27">
      <w:pPr>
        <w:pStyle w:val="BodyText"/>
        <w:jc w:val="left"/>
        <w:rPr>
          <w:rFonts w:ascii="Arial" w:hAnsi="Arial" w:cs="Arial"/>
          <w:color w:val="0033CC"/>
          <w:sz w:val="22"/>
        </w:rPr>
      </w:pPr>
      <w:r w:rsidRPr="00800D27">
        <w:rPr>
          <w:rFonts w:ascii="Arial" w:hAnsi="Arial" w:cs="Arial"/>
          <w:color w:val="0033CC"/>
          <w:sz w:val="22"/>
        </w:rPr>
        <w:t>Investments</w:t>
      </w:r>
    </w:p>
    <w:p w:rsidR="00807C30" w:rsidRPr="00800D27" w:rsidRDefault="00807C30" w:rsidP="00800D27">
      <w:pPr>
        <w:pStyle w:val="BodyText"/>
        <w:jc w:val="left"/>
        <w:rPr>
          <w:rFonts w:ascii="Arial" w:hAnsi="Arial" w:cs="Arial"/>
          <w:color w:val="0033CC"/>
          <w:sz w:val="22"/>
        </w:rPr>
      </w:pPr>
    </w:p>
    <w:p w:rsidR="000804F3" w:rsidRDefault="003552BC" w:rsidP="001C6A9D">
      <w:pPr>
        <w:pStyle w:val="BodyText"/>
        <w:jc w:val="left"/>
        <w:rPr>
          <w:rFonts w:ascii="Arial" w:hAnsi="Arial" w:cs="Arial"/>
          <w:sz w:val="22"/>
        </w:rPr>
      </w:pPr>
      <w:r>
        <w:rPr>
          <w:rFonts w:ascii="Arial" w:hAnsi="Arial" w:cs="Arial"/>
          <w:sz w:val="22"/>
        </w:rPr>
        <w:t>The following shows the original principal sum invested at 31 March analysed by the nature of the financial institution and by maturity, these investments are fixed time and callable deposits where the deposits are redeemed for the same value as the amount invested. The deposits are with United Kingdom banks and building societies and, therefore, no provision is made</w:t>
      </w:r>
      <w:r w:rsidR="001C6A9D">
        <w:rPr>
          <w:rFonts w:ascii="Arial" w:hAnsi="Arial" w:cs="Arial"/>
          <w:sz w:val="22"/>
        </w:rPr>
        <w:t xml:space="preserve"> for possible loss of principal.</w:t>
      </w:r>
    </w:p>
    <w:p w:rsidR="001C6A9D" w:rsidRDefault="001C6A9D" w:rsidP="001C6A9D">
      <w:pPr>
        <w:pStyle w:val="BodyText"/>
        <w:jc w:val="left"/>
        <w:rPr>
          <w:rFonts w:ascii="Arial" w:hAnsi="Arial" w:cs="Arial"/>
          <w:sz w:val="22"/>
        </w:rPr>
      </w:pPr>
    </w:p>
    <w:p w:rsidR="00703F2D" w:rsidRDefault="00703F2D" w:rsidP="001C6A9D">
      <w:pPr>
        <w:pStyle w:val="BodyText"/>
        <w:jc w:val="left"/>
        <w:rPr>
          <w:rFonts w:ascii="Arial" w:hAnsi="Arial" w:cs="Arial"/>
          <w:sz w:val="22"/>
        </w:rPr>
      </w:pPr>
    </w:p>
    <w:p w:rsidR="001C6A9D" w:rsidRDefault="001C6A9D" w:rsidP="001C6A9D">
      <w:pPr>
        <w:pStyle w:val="BodyText"/>
        <w:jc w:val="left"/>
        <w:rPr>
          <w:rFonts w:ascii="Arial" w:hAnsi="Arial" w:cs="Arial"/>
          <w:sz w:val="22"/>
        </w:rPr>
      </w:pPr>
    </w:p>
    <w:p w:rsidR="00F23FFF" w:rsidRDefault="00F23FFF">
      <w:pPr>
        <w:pStyle w:val="xl50"/>
        <w:spacing w:before="0" w:beforeAutospacing="0" w:after="0" w:afterAutospacing="0"/>
        <w:rPr>
          <w:rFonts w:eastAsia="Times New Roman"/>
          <w:bCs w:val="0"/>
          <w:szCs w:val="20"/>
        </w:rPr>
      </w:pPr>
    </w:p>
    <w:p w:rsidR="005F6F8C" w:rsidRDefault="00AB08D2" w:rsidP="005E331A">
      <w:pPr>
        <w:pStyle w:val="xl50"/>
        <w:spacing w:before="0" w:beforeAutospacing="0" w:after="0" w:afterAutospacing="0"/>
        <w:jc w:val="center"/>
        <w:rPr>
          <w:rFonts w:eastAsia="Times New Roman"/>
          <w:bCs w:val="0"/>
          <w:szCs w:val="20"/>
        </w:rPr>
      </w:pPr>
      <w:r w:rsidRPr="00AB08D2">
        <w:rPr>
          <w:noProof/>
          <w:lang w:eastAsia="en-GB"/>
        </w:rPr>
        <w:drawing>
          <wp:inline distT="0" distB="0" distL="0" distR="0">
            <wp:extent cx="5067300" cy="4781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300" cy="4781550"/>
                    </a:xfrm>
                    <a:prstGeom prst="rect">
                      <a:avLst/>
                    </a:prstGeom>
                    <a:noFill/>
                    <a:ln>
                      <a:noFill/>
                    </a:ln>
                  </pic:spPr>
                </pic:pic>
              </a:graphicData>
            </a:graphic>
          </wp:inline>
        </w:drawing>
      </w:r>
    </w:p>
    <w:p w:rsidR="00BC7209" w:rsidRDefault="00BC7209">
      <w:pPr>
        <w:pStyle w:val="xl50"/>
        <w:spacing w:before="0" w:beforeAutospacing="0" w:after="0" w:afterAutospacing="0"/>
        <w:rPr>
          <w:rFonts w:eastAsia="Times New Roman"/>
          <w:bCs w:val="0"/>
          <w:szCs w:val="20"/>
        </w:rPr>
      </w:pPr>
    </w:p>
    <w:p w:rsidR="00432903" w:rsidRDefault="00432903">
      <w:pPr>
        <w:pStyle w:val="xl50"/>
        <w:spacing w:before="0" w:beforeAutospacing="0" w:after="0" w:afterAutospacing="0"/>
        <w:rPr>
          <w:rFonts w:eastAsia="Times New Roman"/>
          <w:bCs w:val="0"/>
          <w:szCs w:val="20"/>
        </w:rPr>
      </w:pPr>
    </w:p>
    <w:p w:rsidR="001C6A9D" w:rsidRDefault="001C6A9D">
      <w:pPr>
        <w:pStyle w:val="xl50"/>
        <w:spacing w:before="0" w:beforeAutospacing="0" w:after="0" w:afterAutospacing="0"/>
        <w:rPr>
          <w:rFonts w:eastAsia="Times New Roman"/>
          <w:bCs w:val="0"/>
          <w:szCs w:val="20"/>
        </w:rPr>
      </w:pPr>
    </w:p>
    <w:p w:rsidR="001C6A9D" w:rsidRDefault="001C6A9D">
      <w:pPr>
        <w:pStyle w:val="xl50"/>
        <w:spacing w:before="0" w:beforeAutospacing="0" w:after="0" w:afterAutospacing="0"/>
        <w:rPr>
          <w:rFonts w:eastAsia="Times New Roman"/>
          <w:bCs w:val="0"/>
          <w:szCs w:val="20"/>
        </w:rPr>
      </w:pPr>
    </w:p>
    <w:p w:rsidR="00AB08D2" w:rsidRDefault="00AB08D2">
      <w:pPr>
        <w:pStyle w:val="xl50"/>
        <w:spacing w:before="0" w:beforeAutospacing="0" w:after="0" w:afterAutospacing="0"/>
        <w:rPr>
          <w:rFonts w:eastAsia="Times New Roman"/>
          <w:bCs w:val="0"/>
          <w:szCs w:val="20"/>
        </w:rPr>
      </w:pPr>
    </w:p>
    <w:p w:rsidR="00AB08D2" w:rsidRDefault="00AB08D2">
      <w:pPr>
        <w:pStyle w:val="xl50"/>
        <w:spacing w:before="0" w:beforeAutospacing="0" w:after="0" w:afterAutospacing="0"/>
        <w:rPr>
          <w:rFonts w:eastAsia="Times New Roman"/>
          <w:bCs w:val="0"/>
          <w:szCs w:val="20"/>
        </w:rPr>
      </w:pPr>
    </w:p>
    <w:p w:rsidR="00AB08D2" w:rsidRDefault="00AB08D2">
      <w:pPr>
        <w:pStyle w:val="xl50"/>
        <w:spacing w:before="0" w:beforeAutospacing="0" w:after="0" w:afterAutospacing="0"/>
        <w:rPr>
          <w:rFonts w:eastAsia="Times New Roman"/>
          <w:bCs w:val="0"/>
          <w:szCs w:val="20"/>
        </w:rPr>
      </w:pPr>
    </w:p>
    <w:p w:rsidR="00AB08D2" w:rsidRDefault="00AB08D2">
      <w:pPr>
        <w:pStyle w:val="xl50"/>
        <w:spacing w:before="0" w:beforeAutospacing="0" w:after="0" w:afterAutospacing="0"/>
        <w:rPr>
          <w:rFonts w:eastAsia="Times New Roman"/>
          <w:bCs w:val="0"/>
          <w:szCs w:val="20"/>
        </w:rPr>
      </w:pPr>
    </w:p>
    <w:p w:rsidR="00BC7209" w:rsidRDefault="00BC7209">
      <w:pPr>
        <w:pStyle w:val="xl50"/>
        <w:spacing w:before="0" w:beforeAutospacing="0" w:after="0" w:afterAutospacing="0"/>
        <w:rPr>
          <w:rFonts w:eastAsia="Times New Roman"/>
          <w:bCs w:val="0"/>
          <w:szCs w:val="20"/>
        </w:rPr>
      </w:pPr>
    </w:p>
    <w:p w:rsidR="00F23FFF" w:rsidRDefault="003552BC">
      <w:pPr>
        <w:pStyle w:val="xl50"/>
        <w:tabs>
          <w:tab w:val="left" w:pos="567"/>
        </w:tabs>
        <w:spacing w:before="0" w:beforeAutospacing="0" w:after="0" w:afterAutospacing="0"/>
        <w:rPr>
          <w:rFonts w:eastAsia="Times New Roman"/>
          <w:bCs w:val="0"/>
          <w:szCs w:val="20"/>
        </w:rPr>
      </w:pPr>
      <w:r>
        <w:rPr>
          <w:rFonts w:eastAsia="Times New Roman"/>
          <w:bCs w:val="0"/>
          <w:szCs w:val="20"/>
        </w:rPr>
        <w:lastRenderedPageBreak/>
        <w:t>3</w:t>
      </w:r>
      <w:r w:rsidR="00672827">
        <w:rPr>
          <w:rFonts w:eastAsia="Times New Roman"/>
          <w:bCs w:val="0"/>
          <w:szCs w:val="20"/>
        </w:rPr>
        <w:t>9</w:t>
      </w:r>
      <w:r>
        <w:rPr>
          <w:rFonts w:eastAsia="Times New Roman"/>
          <w:bCs w:val="0"/>
          <w:szCs w:val="20"/>
        </w:rPr>
        <w:t xml:space="preserve">    Long Term Liabilities</w:t>
      </w:r>
    </w:p>
    <w:p w:rsidR="00F23FFF" w:rsidRDefault="00F23FFF">
      <w:pPr>
        <w:ind w:left="360"/>
        <w:rPr>
          <w:rFonts w:ascii="Arial" w:hAnsi="Arial" w:cs="Arial"/>
          <w:b/>
          <w:color w:val="FF0000"/>
          <w:sz w:val="22"/>
        </w:rPr>
      </w:pPr>
    </w:p>
    <w:tbl>
      <w:tblPr>
        <w:tblW w:w="8755" w:type="dxa"/>
        <w:jc w:val="center"/>
        <w:tblInd w:w="93" w:type="dxa"/>
        <w:tblLook w:val="04A0" w:firstRow="1" w:lastRow="0" w:firstColumn="1" w:lastColumn="0" w:noHBand="0" w:noVBand="1"/>
      </w:tblPr>
      <w:tblGrid>
        <w:gridCol w:w="285"/>
        <w:gridCol w:w="1603"/>
        <w:gridCol w:w="287"/>
        <w:gridCol w:w="3977"/>
        <w:gridCol w:w="715"/>
        <w:gridCol w:w="1603"/>
        <w:gridCol w:w="285"/>
      </w:tblGrid>
      <w:tr w:rsidR="00C23BB7" w:rsidRPr="00C23BB7" w:rsidTr="00C23BB7">
        <w:trPr>
          <w:trHeight w:val="287"/>
          <w:jc w:val="center"/>
        </w:trPr>
        <w:tc>
          <w:tcPr>
            <w:tcW w:w="285" w:type="dxa"/>
            <w:tcBorders>
              <w:top w:val="single" w:sz="4" w:space="0" w:color="auto"/>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single" w:sz="4" w:space="0" w:color="auto"/>
              <w:left w:val="nil"/>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287" w:type="dxa"/>
            <w:tcBorders>
              <w:top w:val="single" w:sz="4" w:space="0" w:color="auto"/>
              <w:left w:val="nil"/>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3977" w:type="dxa"/>
            <w:tcBorders>
              <w:top w:val="single" w:sz="4" w:space="0" w:color="auto"/>
              <w:left w:val="nil"/>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715" w:type="dxa"/>
            <w:tcBorders>
              <w:top w:val="single" w:sz="4" w:space="0" w:color="auto"/>
              <w:left w:val="nil"/>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single" w:sz="4" w:space="0" w:color="auto"/>
              <w:left w:val="nil"/>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285" w:type="dxa"/>
            <w:tcBorders>
              <w:top w:val="single" w:sz="4" w:space="0" w:color="auto"/>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02"/>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2012-13</w:t>
            </w: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715"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Note</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2013-14</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02"/>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w:t>
            </w: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02"/>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02"/>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right"/>
              <w:rPr>
                <w:rFonts w:ascii="Arial" w:hAnsi="Arial" w:cs="Arial"/>
                <w:sz w:val="22"/>
                <w:szCs w:val="22"/>
                <w:lang w:eastAsia="en-GB"/>
              </w:rPr>
            </w:pPr>
            <w:r w:rsidRPr="00C23BB7">
              <w:rPr>
                <w:rFonts w:ascii="Arial" w:hAnsi="Arial" w:cs="Arial"/>
                <w:sz w:val="22"/>
                <w:szCs w:val="22"/>
                <w:lang w:eastAsia="en-GB"/>
              </w:rPr>
              <w:t>(45,399,000)</w:t>
            </w: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xml:space="preserve">Liability related to defined benefit </w:t>
            </w:r>
          </w:p>
        </w:tc>
        <w:tc>
          <w:tcPr>
            <w:tcW w:w="715"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23</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right"/>
              <w:rPr>
                <w:rFonts w:ascii="Arial" w:hAnsi="Arial" w:cs="Arial"/>
                <w:sz w:val="22"/>
                <w:szCs w:val="22"/>
                <w:lang w:eastAsia="en-GB"/>
              </w:rPr>
            </w:pPr>
            <w:r w:rsidRPr="00C23BB7">
              <w:rPr>
                <w:rFonts w:ascii="Arial" w:hAnsi="Arial" w:cs="Arial"/>
                <w:sz w:val="22"/>
                <w:szCs w:val="22"/>
                <w:lang w:eastAsia="en-GB"/>
              </w:rPr>
              <w:t>(48,245,000)</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287"/>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xml:space="preserve">   pension scheme</w:t>
            </w: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287"/>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right"/>
              <w:rPr>
                <w:rFonts w:ascii="Arial" w:hAnsi="Arial" w:cs="Arial"/>
                <w:sz w:val="22"/>
                <w:szCs w:val="22"/>
                <w:lang w:eastAsia="en-GB"/>
              </w:rPr>
            </w:pPr>
            <w:r w:rsidRPr="00C23BB7">
              <w:rPr>
                <w:rFonts w:ascii="Arial" w:hAnsi="Arial" w:cs="Arial"/>
                <w:sz w:val="22"/>
                <w:szCs w:val="22"/>
                <w:lang w:eastAsia="en-GB"/>
              </w:rPr>
              <w:t>(25,800)</w:t>
            </w: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Deferred Liability -Pension</w:t>
            </w: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right"/>
              <w:rPr>
                <w:rFonts w:ascii="Arial" w:hAnsi="Arial" w:cs="Arial"/>
                <w:sz w:val="22"/>
                <w:szCs w:val="22"/>
                <w:lang w:eastAsia="en-GB"/>
              </w:rPr>
            </w:pPr>
            <w:r w:rsidRPr="00C23BB7">
              <w:rPr>
                <w:rFonts w:ascii="Arial" w:hAnsi="Arial" w:cs="Arial"/>
                <w:sz w:val="22"/>
                <w:szCs w:val="22"/>
                <w:lang w:eastAsia="en-GB"/>
              </w:rPr>
              <w:t>(11,418)</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02"/>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17"/>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single" w:sz="12" w:space="0" w:color="auto"/>
              <w:left w:val="nil"/>
              <w:bottom w:val="nil"/>
              <w:right w:val="nil"/>
            </w:tcBorders>
            <w:shd w:val="clear" w:color="auto" w:fill="auto"/>
            <w:noWrap/>
            <w:vAlign w:val="center"/>
            <w:hideMark/>
          </w:tcPr>
          <w:p w:rsidR="00C23BB7" w:rsidRPr="00C23BB7" w:rsidRDefault="00C23BB7" w:rsidP="00C23BB7">
            <w:pPr>
              <w:jc w:val="right"/>
              <w:rPr>
                <w:rFonts w:ascii="Arial" w:hAnsi="Arial" w:cs="Arial"/>
                <w:b/>
                <w:bCs/>
                <w:sz w:val="22"/>
                <w:szCs w:val="22"/>
                <w:lang w:eastAsia="en-GB"/>
              </w:rPr>
            </w:pPr>
            <w:r w:rsidRPr="00C23BB7">
              <w:rPr>
                <w:rFonts w:ascii="Arial" w:hAnsi="Arial" w:cs="Arial"/>
                <w:b/>
                <w:bCs/>
                <w:sz w:val="22"/>
                <w:szCs w:val="22"/>
                <w:lang w:eastAsia="en-GB"/>
              </w:rPr>
              <w:t>(45,424,800)</w:t>
            </w:r>
          </w:p>
        </w:tc>
        <w:tc>
          <w:tcPr>
            <w:tcW w:w="287" w:type="dxa"/>
            <w:tcBorders>
              <w:top w:val="single" w:sz="12" w:space="0" w:color="auto"/>
              <w:left w:val="nil"/>
              <w:bottom w:val="nil"/>
              <w:right w:val="nil"/>
            </w:tcBorders>
            <w:shd w:val="clear" w:color="auto" w:fill="auto"/>
            <w:noWrap/>
            <w:vAlign w:val="center"/>
            <w:hideMark/>
          </w:tcPr>
          <w:p w:rsidR="00C23BB7" w:rsidRPr="00C23BB7" w:rsidRDefault="00C23BB7" w:rsidP="00C23BB7">
            <w:pPr>
              <w:rPr>
                <w:rFonts w:ascii="Arial" w:hAnsi="Arial" w:cs="Arial"/>
                <w:b/>
                <w:bCs/>
                <w:sz w:val="22"/>
                <w:szCs w:val="22"/>
                <w:lang w:eastAsia="en-GB"/>
              </w:rPr>
            </w:pPr>
            <w:r w:rsidRPr="00C23BB7">
              <w:rPr>
                <w:rFonts w:ascii="Arial" w:hAnsi="Arial" w:cs="Arial"/>
                <w:b/>
                <w:bCs/>
                <w:sz w:val="22"/>
                <w:szCs w:val="22"/>
                <w:lang w:eastAsia="en-GB"/>
              </w:rPr>
              <w:t> </w:t>
            </w:r>
          </w:p>
        </w:tc>
        <w:tc>
          <w:tcPr>
            <w:tcW w:w="3977" w:type="dxa"/>
            <w:tcBorders>
              <w:top w:val="single" w:sz="12" w:space="0" w:color="auto"/>
              <w:left w:val="nil"/>
              <w:bottom w:val="nil"/>
              <w:right w:val="nil"/>
            </w:tcBorders>
            <w:shd w:val="clear" w:color="auto" w:fill="auto"/>
            <w:noWrap/>
            <w:vAlign w:val="center"/>
            <w:hideMark/>
          </w:tcPr>
          <w:p w:rsidR="00C23BB7" w:rsidRPr="00C23BB7" w:rsidRDefault="00C23BB7" w:rsidP="00C23BB7">
            <w:pPr>
              <w:rPr>
                <w:rFonts w:ascii="Arial" w:hAnsi="Arial" w:cs="Arial"/>
                <w:b/>
                <w:bCs/>
                <w:sz w:val="22"/>
                <w:szCs w:val="22"/>
                <w:lang w:eastAsia="en-GB"/>
              </w:rPr>
            </w:pPr>
            <w:r w:rsidRPr="00C23BB7">
              <w:rPr>
                <w:rFonts w:ascii="Arial" w:hAnsi="Arial" w:cs="Arial"/>
                <w:b/>
                <w:bCs/>
                <w:sz w:val="22"/>
                <w:szCs w:val="22"/>
                <w:lang w:eastAsia="en-GB"/>
              </w:rPr>
              <w:t> </w:t>
            </w:r>
          </w:p>
        </w:tc>
        <w:tc>
          <w:tcPr>
            <w:tcW w:w="715" w:type="dxa"/>
            <w:tcBorders>
              <w:top w:val="single" w:sz="12" w:space="0" w:color="auto"/>
              <w:left w:val="nil"/>
              <w:bottom w:val="nil"/>
              <w:right w:val="nil"/>
            </w:tcBorders>
            <w:shd w:val="clear" w:color="auto" w:fill="auto"/>
            <w:noWrap/>
            <w:vAlign w:val="center"/>
            <w:hideMark/>
          </w:tcPr>
          <w:p w:rsidR="00C23BB7" w:rsidRPr="00C23BB7" w:rsidRDefault="00C23BB7" w:rsidP="00C23BB7">
            <w:pPr>
              <w:rPr>
                <w:rFonts w:ascii="Arial" w:hAnsi="Arial" w:cs="Arial"/>
                <w:b/>
                <w:bCs/>
                <w:sz w:val="22"/>
                <w:szCs w:val="22"/>
                <w:lang w:eastAsia="en-GB"/>
              </w:rPr>
            </w:pPr>
            <w:r w:rsidRPr="00C23BB7">
              <w:rPr>
                <w:rFonts w:ascii="Arial" w:hAnsi="Arial" w:cs="Arial"/>
                <w:b/>
                <w:bCs/>
                <w:sz w:val="22"/>
                <w:szCs w:val="22"/>
                <w:lang w:eastAsia="en-GB"/>
              </w:rPr>
              <w:t> </w:t>
            </w:r>
          </w:p>
        </w:tc>
        <w:tc>
          <w:tcPr>
            <w:tcW w:w="1603" w:type="dxa"/>
            <w:tcBorders>
              <w:top w:val="single" w:sz="12" w:space="0" w:color="auto"/>
              <w:left w:val="nil"/>
              <w:bottom w:val="nil"/>
              <w:right w:val="nil"/>
            </w:tcBorders>
            <w:shd w:val="clear" w:color="auto" w:fill="auto"/>
            <w:noWrap/>
            <w:vAlign w:val="center"/>
            <w:hideMark/>
          </w:tcPr>
          <w:p w:rsidR="00C23BB7" w:rsidRPr="00C23BB7" w:rsidRDefault="00C23BB7" w:rsidP="00C23BB7">
            <w:pPr>
              <w:jc w:val="right"/>
              <w:rPr>
                <w:rFonts w:ascii="Arial" w:hAnsi="Arial" w:cs="Arial"/>
                <w:b/>
                <w:bCs/>
                <w:sz w:val="22"/>
                <w:szCs w:val="22"/>
                <w:lang w:eastAsia="en-GB"/>
              </w:rPr>
            </w:pPr>
            <w:r w:rsidRPr="00C23BB7">
              <w:rPr>
                <w:rFonts w:ascii="Arial" w:hAnsi="Arial" w:cs="Arial"/>
                <w:b/>
                <w:bCs/>
                <w:sz w:val="22"/>
                <w:szCs w:val="22"/>
                <w:lang w:eastAsia="en-GB"/>
              </w:rPr>
              <w:t>(48,256,418)</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02"/>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right"/>
              <w:rPr>
                <w:rFonts w:ascii="Arial" w:hAnsi="Arial" w:cs="Arial"/>
                <w:b/>
                <w:bCs/>
                <w:sz w:val="22"/>
                <w:szCs w:val="22"/>
                <w:lang w:eastAsia="en-GB"/>
              </w:rPr>
            </w:pP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b/>
                <w:bCs/>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b/>
                <w:bCs/>
                <w:sz w:val="22"/>
                <w:szCs w:val="22"/>
                <w:lang w:eastAsia="en-GB"/>
              </w:rPr>
            </w:pP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b/>
                <w:bCs/>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right"/>
              <w:rPr>
                <w:rFonts w:ascii="Arial" w:hAnsi="Arial" w:cs="Arial"/>
                <w:b/>
                <w:bCs/>
                <w:sz w:val="22"/>
                <w:szCs w:val="22"/>
                <w:lang w:eastAsia="en-GB"/>
              </w:rPr>
            </w:pP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287"/>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sz w:val="22"/>
                <w:szCs w:val="22"/>
                <w:lang w:eastAsia="en-GB"/>
              </w:rPr>
            </w:pPr>
            <w:r w:rsidRPr="00C23BB7">
              <w:rPr>
                <w:rFonts w:ascii="Arial" w:hAnsi="Arial" w:cs="Arial"/>
                <w:sz w:val="22"/>
                <w:szCs w:val="22"/>
                <w:lang w:eastAsia="en-GB"/>
              </w:rPr>
              <w:t>(205,123,000)</w:t>
            </w: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Borrowing for HRA Self Financing</w:t>
            </w: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sz w:val="22"/>
                <w:szCs w:val="22"/>
                <w:lang w:eastAsia="en-GB"/>
              </w:rPr>
            </w:pPr>
            <w:r w:rsidRPr="00C23BB7">
              <w:rPr>
                <w:rFonts w:ascii="Arial" w:hAnsi="Arial" w:cs="Arial"/>
                <w:sz w:val="22"/>
                <w:szCs w:val="22"/>
                <w:lang w:eastAsia="en-GB"/>
              </w:rPr>
              <w:t>(205,123,000)</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17"/>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p>
        </w:tc>
        <w:tc>
          <w:tcPr>
            <w:tcW w:w="28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3977"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715" w:type="dxa"/>
            <w:tcBorders>
              <w:top w:val="nil"/>
              <w:left w:val="nil"/>
              <w:bottom w:val="nil"/>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p>
        </w:tc>
        <w:tc>
          <w:tcPr>
            <w:tcW w:w="1603" w:type="dxa"/>
            <w:tcBorders>
              <w:top w:val="nil"/>
              <w:left w:val="nil"/>
              <w:bottom w:val="nil"/>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317"/>
          <w:jc w:val="center"/>
        </w:trPr>
        <w:tc>
          <w:tcPr>
            <w:tcW w:w="285" w:type="dxa"/>
            <w:tcBorders>
              <w:top w:val="nil"/>
              <w:left w:val="single" w:sz="4" w:space="0" w:color="auto"/>
              <w:bottom w:val="nil"/>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single" w:sz="8" w:space="0" w:color="auto"/>
              <w:left w:val="nil"/>
              <w:bottom w:val="single" w:sz="8" w:space="0" w:color="auto"/>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(250,547,800)</w:t>
            </w:r>
          </w:p>
        </w:tc>
        <w:tc>
          <w:tcPr>
            <w:tcW w:w="287" w:type="dxa"/>
            <w:tcBorders>
              <w:top w:val="single" w:sz="8" w:space="0" w:color="auto"/>
              <w:left w:val="nil"/>
              <w:bottom w:val="single" w:sz="8" w:space="0" w:color="auto"/>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3977" w:type="dxa"/>
            <w:tcBorders>
              <w:top w:val="single" w:sz="8" w:space="0" w:color="auto"/>
              <w:left w:val="nil"/>
              <w:bottom w:val="single" w:sz="8" w:space="0" w:color="auto"/>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715" w:type="dxa"/>
            <w:tcBorders>
              <w:top w:val="single" w:sz="8" w:space="0" w:color="auto"/>
              <w:left w:val="nil"/>
              <w:bottom w:val="single" w:sz="8" w:space="0" w:color="auto"/>
              <w:right w:val="nil"/>
            </w:tcBorders>
            <w:shd w:val="clear" w:color="auto" w:fill="auto"/>
            <w:noWrap/>
            <w:vAlign w:val="center"/>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single" w:sz="8" w:space="0" w:color="auto"/>
              <w:left w:val="nil"/>
              <w:bottom w:val="single" w:sz="8" w:space="0" w:color="auto"/>
              <w:right w:val="nil"/>
            </w:tcBorders>
            <w:shd w:val="clear" w:color="auto" w:fill="auto"/>
            <w:noWrap/>
            <w:vAlign w:val="center"/>
            <w:hideMark/>
          </w:tcPr>
          <w:p w:rsidR="00C23BB7" w:rsidRPr="00C23BB7" w:rsidRDefault="00C23BB7" w:rsidP="00C23BB7">
            <w:pPr>
              <w:jc w:val="center"/>
              <w:rPr>
                <w:rFonts w:ascii="Arial" w:hAnsi="Arial" w:cs="Arial"/>
                <w:b/>
                <w:bCs/>
                <w:sz w:val="22"/>
                <w:szCs w:val="22"/>
                <w:lang w:eastAsia="en-GB"/>
              </w:rPr>
            </w:pPr>
            <w:r w:rsidRPr="00C23BB7">
              <w:rPr>
                <w:rFonts w:ascii="Arial" w:hAnsi="Arial" w:cs="Arial"/>
                <w:b/>
                <w:bCs/>
                <w:sz w:val="22"/>
                <w:szCs w:val="22"/>
                <w:lang w:eastAsia="en-GB"/>
              </w:rPr>
              <w:t>(253,379,418)</w:t>
            </w:r>
          </w:p>
        </w:tc>
        <w:tc>
          <w:tcPr>
            <w:tcW w:w="285" w:type="dxa"/>
            <w:tcBorders>
              <w:top w:val="nil"/>
              <w:left w:val="nil"/>
              <w:bottom w:val="nil"/>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r w:rsidR="00C23BB7" w:rsidRPr="00C23BB7" w:rsidTr="00C23BB7">
        <w:trPr>
          <w:trHeight w:val="287"/>
          <w:jc w:val="center"/>
        </w:trPr>
        <w:tc>
          <w:tcPr>
            <w:tcW w:w="285" w:type="dxa"/>
            <w:tcBorders>
              <w:top w:val="nil"/>
              <w:left w:val="single" w:sz="4" w:space="0" w:color="auto"/>
              <w:bottom w:val="single" w:sz="4" w:space="0" w:color="auto"/>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single" w:sz="4" w:space="0" w:color="auto"/>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287" w:type="dxa"/>
            <w:tcBorders>
              <w:top w:val="nil"/>
              <w:left w:val="nil"/>
              <w:bottom w:val="single" w:sz="4" w:space="0" w:color="auto"/>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3977" w:type="dxa"/>
            <w:tcBorders>
              <w:top w:val="nil"/>
              <w:left w:val="nil"/>
              <w:bottom w:val="single" w:sz="4" w:space="0" w:color="auto"/>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715" w:type="dxa"/>
            <w:tcBorders>
              <w:top w:val="nil"/>
              <w:left w:val="nil"/>
              <w:bottom w:val="single" w:sz="4" w:space="0" w:color="auto"/>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1603" w:type="dxa"/>
            <w:tcBorders>
              <w:top w:val="nil"/>
              <w:left w:val="nil"/>
              <w:bottom w:val="single" w:sz="4" w:space="0" w:color="auto"/>
              <w:right w:val="nil"/>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c>
          <w:tcPr>
            <w:tcW w:w="285" w:type="dxa"/>
            <w:tcBorders>
              <w:top w:val="nil"/>
              <w:left w:val="nil"/>
              <w:bottom w:val="single" w:sz="4" w:space="0" w:color="auto"/>
              <w:right w:val="single" w:sz="4" w:space="0" w:color="auto"/>
            </w:tcBorders>
            <w:shd w:val="clear" w:color="auto" w:fill="auto"/>
            <w:noWrap/>
            <w:vAlign w:val="bottom"/>
            <w:hideMark/>
          </w:tcPr>
          <w:p w:rsidR="00C23BB7" w:rsidRPr="00C23BB7" w:rsidRDefault="00C23BB7" w:rsidP="00C23BB7">
            <w:pPr>
              <w:rPr>
                <w:rFonts w:ascii="Arial" w:hAnsi="Arial" w:cs="Arial"/>
                <w:sz w:val="22"/>
                <w:szCs w:val="22"/>
                <w:lang w:eastAsia="en-GB"/>
              </w:rPr>
            </w:pPr>
            <w:r w:rsidRPr="00C23BB7">
              <w:rPr>
                <w:rFonts w:ascii="Arial" w:hAnsi="Arial" w:cs="Arial"/>
                <w:sz w:val="22"/>
                <w:szCs w:val="22"/>
                <w:lang w:eastAsia="en-GB"/>
              </w:rPr>
              <w:t> </w:t>
            </w:r>
          </w:p>
        </w:tc>
      </w:tr>
    </w:tbl>
    <w:p w:rsidR="00F23FFF" w:rsidRDefault="00F23FFF">
      <w:pPr>
        <w:ind w:left="360"/>
        <w:rPr>
          <w:rFonts w:ascii="Arial" w:hAnsi="Arial" w:cs="Arial"/>
          <w:b/>
          <w:color w:val="FF0000"/>
          <w:sz w:val="22"/>
        </w:rPr>
      </w:pPr>
    </w:p>
    <w:p w:rsidR="00F22518" w:rsidRDefault="00F22518" w:rsidP="003D61A9">
      <w:pPr>
        <w:rPr>
          <w:rFonts w:ascii="Arial" w:hAnsi="Arial" w:cs="Arial"/>
          <w:b/>
          <w:color w:val="FF0000"/>
          <w:sz w:val="22"/>
        </w:rPr>
      </w:pPr>
    </w:p>
    <w:p w:rsidR="004819C9" w:rsidRDefault="004819C9" w:rsidP="003D61A9">
      <w:pPr>
        <w:rPr>
          <w:rFonts w:ascii="Arial" w:hAnsi="Arial" w:cs="Arial"/>
          <w:b/>
          <w:color w:val="FF0000"/>
          <w:sz w:val="22"/>
        </w:rPr>
      </w:pPr>
    </w:p>
    <w:p w:rsidR="004819C9" w:rsidRDefault="004819C9" w:rsidP="003D61A9">
      <w:pPr>
        <w:rPr>
          <w:rFonts w:ascii="Arial" w:hAnsi="Arial" w:cs="Arial"/>
          <w:b/>
          <w:color w:val="FF0000"/>
          <w:sz w:val="22"/>
        </w:rPr>
      </w:pPr>
    </w:p>
    <w:p w:rsidR="004819C9" w:rsidRDefault="004819C9" w:rsidP="004819C9">
      <w:pPr>
        <w:pStyle w:val="xl50"/>
        <w:spacing w:before="0" w:beforeAutospacing="0" w:after="0" w:afterAutospacing="0"/>
        <w:rPr>
          <w:rFonts w:eastAsia="Times New Roman"/>
          <w:b w:val="0"/>
          <w:bCs w:val="0"/>
          <w:szCs w:val="20"/>
        </w:rPr>
      </w:pPr>
      <w:r w:rsidRPr="00800D27">
        <w:rPr>
          <w:rFonts w:eastAsia="Times New Roman"/>
          <w:b w:val="0"/>
          <w:bCs w:val="0"/>
          <w:szCs w:val="20"/>
        </w:rPr>
        <w:t>Long term borrowing</w:t>
      </w:r>
    </w:p>
    <w:p w:rsidR="004819C9" w:rsidRPr="00800D27" w:rsidRDefault="004819C9" w:rsidP="004819C9">
      <w:pPr>
        <w:pStyle w:val="xl50"/>
        <w:spacing w:before="0" w:beforeAutospacing="0" w:after="0" w:afterAutospacing="0"/>
        <w:rPr>
          <w:rFonts w:eastAsia="Times New Roman"/>
          <w:b w:val="0"/>
          <w:bCs w:val="0"/>
          <w:szCs w:val="20"/>
        </w:rPr>
      </w:pPr>
    </w:p>
    <w:p w:rsidR="004819C9" w:rsidRDefault="004819C9" w:rsidP="004819C9">
      <w:pPr>
        <w:pStyle w:val="xl50"/>
        <w:spacing w:before="0" w:beforeAutospacing="0" w:after="0" w:afterAutospacing="0"/>
        <w:rPr>
          <w:rFonts w:eastAsia="Times New Roman"/>
          <w:b w:val="0"/>
          <w:bCs w:val="0"/>
          <w:color w:val="auto"/>
          <w:sz w:val="22"/>
          <w:szCs w:val="22"/>
        </w:rPr>
      </w:pPr>
      <w:r>
        <w:rPr>
          <w:rFonts w:eastAsia="Times New Roman"/>
          <w:b w:val="0"/>
          <w:bCs w:val="0"/>
          <w:color w:val="auto"/>
          <w:sz w:val="22"/>
          <w:szCs w:val="22"/>
        </w:rPr>
        <w:t xml:space="preserve">Housing Revenue Account self-financing has given the Council an obligation to pay the Government a lump sum to ‘buy out’ of a negative housing subsidy position, the Council has obtained 41 individual loans with maturity dates between 2037 and 2057 from the Public Works Loan Board (PWLB) to finance the one-off payment. The loans have been included in the Balance Sheet at </w:t>
      </w:r>
      <w:r w:rsidR="00C37518">
        <w:rPr>
          <w:rFonts w:eastAsia="Times New Roman"/>
          <w:b w:val="0"/>
          <w:bCs w:val="0"/>
          <w:color w:val="auto"/>
          <w:sz w:val="22"/>
          <w:szCs w:val="22"/>
        </w:rPr>
        <w:t>fair</w:t>
      </w:r>
      <w:r>
        <w:rPr>
          <w:rFonts w:eastAsia="Times New Roman"/>
          <w:b w:val="0"/>
          <w:bCs w:val="0"/>
          <w:color w:val="auto"/>
          <w:sz w:val="22"/>
          <w:szCs w:val="22"/>
        </w:rPr>
        <w:t xml:space="preserve"> value, administrati</w:t>
      </w:r>
      <w:r w:rsidR="006E67CD">
        <w:rPr>
          <w:rFonts w:eastAsia="Times New Roman"/>
          <w:b w:val="0"/>
          <w:bCs w:val="0"/>
          <w:color w:val="auto"/>
          <w:sz w:val="22"/>
          <w:szCs w:val="22"/>
        </w:rPr>
        <w:t xml:space="preserve">on charges have been charged </w:t>
      </w:r>
      <w:r>
        <w:rPr>
          <w:rFonts w:eastAsia="Times New Roman"/>
          <w:b w:val="0"/>
          <w:bCs w:val="0"/>
          <w:color w:val="auto"/>
          <w:sz w:val="22"/>
          <w:szCs w:val="22"/>
        </w:rPr>
        <w:t>directly to the Housing Revenue Income and Expenditure Account.</w:t>
      </w:r>
    </w:p>
    <w:p w:rsidR="004819C9" w:rsidRDefault="004819C9" w:rsidP="004819C9">
      <w:pPr>
        <w:pStyle w:val="xl50"/>
        <w:spacing w:before="0" w:beforeAutospacing="0" w:after="0" w:afterAutospacing="0"/>
        <w:rPr>
          <w:rFonts w:eastAsia="Times New Roman"/>
          <w:b w:val="0"/>
          <w:bCs w:val="0"/>
          <w:color w:val="auto"/>
          <w:sz w:val="22"/>
          <w:szCs w:val="22"/>
        </w:rPr>
      </w:pPr>
      <w:r>
        <w:rPr>
          <w:rFonts w:eastAsia="Times New Roman"/>
          <w:b w:val="0"/>
          <w:bCs w:val="0"/>
          <w:color w:val="auto"/>
          <w:sz w:val="22"/>
          <w:szCs w:val="22"/>
        </w:rPr>
        <w:t>An analysis of the PWLB long term liability is provided below:</w:t>
      </w:r>
    </w:p>
    <w:p w:rsidR="004819C9" w:rsidRDefault="004819C9" w:rsidP="004819C9">
      <w:pPr>
        <w:pStyle w:val="xl50"/>
        <w:spacing w:before="0" w:beforeAutospacing="0" w:after="0" w:afterAutospacing="0"/>
        <w:rPr>
          <w:rFonts w:eastAsia="Times New Roman"/>
          <w:b w:val="0"/>
          <w:bCs w:val="0"/>
          <w:color w:val="auto"/>
          <w:sz w:val="22"/>
          <w:szCs w:val="22"/>
        </w:rPr>
      </w:pPr>
    </w:p>
    <w:p w:rsidR="004819C9" w:rsidRPr="00800D27" w:rsidRDefault="004819C9" w:rsidP="004819C9">
      <w:pPr>
        <w:pStyle w:val="xl50"/>
        <w:spacing w:before="0" w:beforeAutospacing="0" w:after="0" w:afterAutospacing="0"/>
        <w:rPr>
          <w:rFonts w:eastAsia="Times New Roman"/>
          <w:b w:val="0"/>
          <w:bCs w:val="0"/>
          <w:color w:val="auto"/>
          <w:sz w:val="22"/>
          <w:szCs w:val="22"/>
        </w:rPr>
      </w:pPr>
    </w:p>
    <w:p w:rsidR="00F22518" w:rsidRDefault="0092330E" w:rsidP="008E75A4">
      <w:pPr>
        <w:ind w:left="360"/>
        <w:jc w:val="center"/>
        <w:rPr>
          <w:rFonts w:ascii="Arial" w:hAnsi="Arial" w:cs="Arial"/>
          <w:b/>
          <w:color w:val="FF0000"/>
          <w:sz w:val="22"/>
        </w:rPr>
      </w:pPr>
      <w:r w:rsidRPr="0092330E">
        <w:rPr>
          <w:noProof/>
          <w:lang w:eastAsia="en-GB"/>
        </w:rPr>
        <w:drawing>
          <wp:inline distT="0" distB="0" distL="0" distR="0">
            <wp:extent cx="3467100" cy="2028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7100" cy="2028825"/>
                    </a:xfrm>
                    <a:prstGeom prst="rect">
                      <a:avLst/>
                    </a:prstGeom>
                    <a:noFill/>
                    <a:ln>
                      <a:noFill/>
                    </a:ln>
                  </pic:spPr>
                </pic:pic>
              </a:graphicData>
            </a:graphic>
          </wp:inline>
        </w:drawing>
      </w:r>
    </w:p>
    <w:p w:rsidR="00DF0602" w:rsidRDefault="00DF0602">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BC7209" w:rsidRDefault="00BC7209">
      <w:pPr>
        <w:ind w:left="360"/>
        <w:rPr>
          <w:rFonts w:ascii="Arial" w:hAnsi="Arial" w:cs="Arial"/>
          <w:b/>
          <w:color w:val="FF0000"/>
          <w:sz w:val="22"/>
        </w:rPr>
      </w:pPr>
    </w:p>
    <w:p w:rsidR="00DF0602" w:rsidRDefault="00DF0602">
      <w:pPr>
        <w:ind w:left="360"/>
        <w:rPr>
          <w:rFonts w:ascii="Arial" w:hAnsi="Arial" w:cs="Arial"/>
          <w:b/>
          <w:color w:val="FF0000"/>
          <w:sz w:val="22"/>
        </w:rPr>
      </w:pPr>
    </w:p>
    <w:p w:rsidR="00F23FFF" w:rsidRDefault="00F23FFF">
      <w:pPr>
        <w:ind w:left="360"/>
        <w:rPr>
          <w:rFonts w:ascii="Arial" w:hAnsi="Arial" w:cs="Arial"/>
          <w:b/>
          <w:color w:val="FF0000"/>
          <w:sz w:val="22"/>
        </w:rPr>
      </w:pPr>
    </w:p>
    <w:p w:rsidR="003D61A9" w:rsidRDefault="003D61A9">
      <w:pPr>
        <w:ind w:left="360"/>
        <w:rPr>
          <w:rFonts w:ascii="Arial" w:hAnsi="Arial" w:cs="Arial"/>
          <w:b/>
          <w:color w:val="FF0000"/>
          <w:sz w:val="22"/>
        </w:rPr>
      </w:pPr>
    </w:p>
    <w:p w:rsidR="00DF0602" w:rsidRDefault="00DF0602">
      <w:pPr>
        <w:ind w:left="360"/>
        <w:rPr>
          <w:rFonts w:ascii="Arial" w:hAnsi="Arial" w:cs="Arial"/>
          <w:b/>
          <w:color w:val="FF0000"/>
          <w:sz w:val="22"/>
        </w:rPr>
      </w:pPr>
    </w:p>
    <w:p w:rsidR="00DF0602" w:rsidRDefault="00DF0602">
      <w:pPr>
        <w:ind w:left="360"/>
        <w:rPr>
          <w:rFonts w:ascii="Arial" w:hAnsi="Arial" w:cs="Arial"/>
          <w:b/>
          <w:color w:val="FF0000"/>
          <w:sz w:val="22"/>
        </w:rPr>
      </w:pPr>
    </w:p>
    <w:p w:rsidR="00DF0602" w:rsidRDefault="00DF0602">
      <w:pPr>
        <w:ind w:left="360"/>
        <w:rPr>
          <w:rFonts w:ascii="Arial" w:hAnsi="Arial" w:cs="Arial"/>
          <w:b/>
          <w:color w:val="FF0000"/>
          <w:sz w:val="22"/>
        </w:rPr>
      </w:pPr>
    </w:p>
    <w:p w:rsidR="00DF0602" w:rsidRDefault="00DF0602">
      <w:pPr>
        <w:ind w:left="360"/>
        <w:rPr>
          <w:rFonts w:ascii="Arial" w:hAnsi="Arial" w:cs="Arial"/>
          <w:b/>
          <w:color w:val="FF0000"/>
          <w:sz w:val="22"/>
        </w:rPr>
      </w:pPr>
    </w:p>
    <w:p w:rsidR="00DF0602" w:rsidRDefault="00DF0602">
      <w:pPr>
        <w:ind w:left="360"/>
        <w:rPr>
          <w:rFonts w:ascii="Arial" w:hAnsi="Arial" w:cs="Arial"/>
          <w:b/>
          <w:color w:val="FF0000"/>
          <w:sz w:val="22"/>
        </w:rPr>
      </w:pPr>
    </w:p>
    <w:p w:rsidR="00DF0602" w:rsidRDefault="00DF0602">
      <w:pPr>
        <w:ind w:left="360"/>
        <w:rPr>
          <w:rFonts w:ascii="Arial" w:hAnsi="Arial" w:cs="Arial"/>
          <w:b/>
          <w:color w:val="FF0000"/>
          <w:sz w:val="22"/>
        </w:rPr>
      </w:pPr>
    </w:p>
    <w:p w:rsidR="00DF0602" w:rsidRDefault="00DF0602">
      <w:pPr>
        <w:ind w:left="360"/>
        <w:rPr>
          <w:rFonts w:ascii="Arial" w:hAnsi="Arial" w:cs="Arial"/>
          <w:b/>
          <w:color w:val="FF0000"/>
          <w:sz w:val="22"/>
        </w:rPr>
      </w:pPr>
    </w:p>
    <w:p w:rsidR="00F23FFF" w:rsidRDefault="00F23FFF">
      <w:pPr>
        <w:rPr>
          <w:rFonts w:ascii="Arial" w:hAnsi="Arial" w:cs="Arial"/>
          <w:b/>
          <w:color w:val="000080"/>
          <w:sz w:val="22"/>
        </w:rPr>
      </w:pPr>
    </w:p>
    <w:p w:rsidR="00DF0602" w:rsidRDefault="00DF0602" w:rsidP="00DF0602">
      <w:pPr>
        <w:rPr>
          <w:rFonts w:ascii="Arial" w:hAnsi="Arial" w:cs="Arial"/>
          <w:sz w:val="22"/>
        </w:rPr>
      </w:pPr>
    </w:p>
    <w:p w:rsidR="00F23FFF" w:rsidRDefault="00F23FFF">
      <w:pPr>
        <w:rPr>
          <w:rFonts w:ascii="Arial" w:hAnsi="Arial" w:cs="Arial"/>
          <w:b/>
          <w:bCs/>
          <w:color w:val="000080"/>
          <w:sz w:val="22"/>
        </w:rPr>
      </w:pPr>
    </w:p>
    <w:p w:rsidR="00BC7209" w:rsidRDefault="00BC7209">
      <w:pPr>
        <w:rPr>
          <w:rFonts w:ascii="Arial" w:hAnsi="Arial" w:cs="Arial"/>
          <w:b/>
          <w:bCs/>
          <w:color w:val="000080"/>
          <w:sz w:val="22"/>
        </w:rPr>
      </w:pPr>
    </w:p>
    <w:p w:rsidR="00F23FFF" w:rsidRDefault="00F23FFF">
      <w:pPr>
        <w:rPr>
          <w:rFonts w:ascii="Arial" w:hAnsi="Arial" w:cs="Arial"/>
          <w:b/>
          <w:bCs/>
          <w:color w:val="000080"/>
          <w:sz w:val="22"/>
        </w:rPr>
      </w:pPr>
    </w:p>
    <w:p w:rsidR="0092330E" w:rsidRDefault="0092330E">
      <w:pPr>
        <w:rPr>
          <w:rFonts w:ascii="Arial" w:hAnsi="Arial" w:cs="Arial"/>
          <w:b/>
          <w:bCs/>
          <w:color w:val="000080"/>
          <w:sz w:val="22"/>
        </w:rPr>
      </w:pPr>
    </w:p>
    <w:p w:rsidR="0092330E" w:rsidRDefault="0092330E"/>
    <w:p w:rsidR="00F23FFF" w:rsidRDefault="003552BC">
      <w:pPr>
        <w:jc w:val="center"/>
        <w:rPr>
          <w:rFonts w:ascii="Arial" w:hAnsi="Arial" w:cs="Arial"/>
          <w:b/>
          <w:bCs/>
          <w:color w:val="000080"/>
          <w:sz w:val="48"/>
        </w:rPr>
      </w:pPr>
      <w:r>
        <w:rPr>
          <w:rFonts w:ascii="Arial" w:hAnsi="Arial" w:cs="Arial"/>
          <w:b/>
          <w:bCs/>
          <w:color w:val="000080"/>
          <w:sz w:val="48"/>
        </w:rPr>
        <w:t>Supplementary Financial Statements</w:t>
      </w:r>
    </w:p>
    <w:p w:rsidR="00F23FFF" w:rsidRDefault="00F23FFF">
      <w:pPr>
        <w:rPr>
          <w:rFonts w:ascii="Arial" w:hAnsi="Arial" w:cs="Arial"/>
          <w:b/>
          <w:bCs/>
          <w:color w:val="000080"/>
          <w:sz w:val="48"/>
        </w:rPr>
      </w:pPr>
    </w:p>
    <w:p w:rsidR="00F23FFF" w:rsidRDefault="00F23FFF">
      <w:pPr>
        <w:rPr>
          <w:rFonts w:ascii="Arial" w:hAnsi="Arial" w:cs="Arial"/>
          <w:b/>
          <w:bCs/>
          <w:color w:val="000080"/>
          <w:sz w:val="48"/>
        </w:rPr>
      </w:pPr>
    </w:p>
    <w:p w:rsidR="00F23FFF" w:rsidRDefault="00F23FFF">
      <w:pPr>
        <w:rPr>
          <w:rFonts w:ascii="Arial" w:hAnsi="Arial" w:cs="Arial"/>
          <w:b/>
          <w:bCs/>
          <w:color w:val="000080"/>
          <w:sz w:val="48"/>
        </w:rPr>
      </w:pPr>
    </w:p>
    <w:p w:rsidR="00F23FFF" w:rsidRDefault="003552BC">
      <w:pPr>
        <w:numPr>
          <w:ilvl w:val="0"/>
          <w:numId w:val="8"/>
        </w:numPr>
        <w:rPr>
          <w:rFonts w:ascii="Arial" w:hAnsi="Arial" w:cs="Arial"/>
          <w:b/>
          <w:bCs/>
          <w:color w:val="000080"/>
          <w:sz w:val="32"/>
        </w:rPr>
      </w:pPr>
      <w:r>
        <w:rPr>
          <w:rFonts w:ascii="Arial" w:hAnsi="Arial" w:cs="Arial"/>
          <w:b/>
          <w:bCs/>
          <w:color w:val="000080"/>
          <w:sz w:val="32"/>
        </w:rPr>
        <w:t>Housing Revenue Income and Expenditure Account</w:t>
      </w:r>
    </w:p>
    <w:p w:rsidR="00F23FFF" w:rsidRDefault="00F23FFF">
      <w:pPr>
        <w:ind w:left="360"/>
        <w:rPr>
          <w:rFonts w:ascii="Arial" w:hAnsi="Arial" w:cs="Arial"/>
          <w:b/>
          <w:bCs/>
          <w:color w:val="000080"/>
          <w:sz w:val="32"/>
        </w:rPr>
      </w:pPr>
    </w:p>
    <w:p w:rsidR="00F23FFF" w:rsidRDefault="003552BC">
      <w:pPr>
        <w:numPr>
          <w:ilvl w:val="0"/>
          <w:numId w:val="8"/>
        </w:numPr>
        <w:rPr>
          <w:rFonts w:ascii="Arial" w:hAnsi="Arial" w:cs="Arial"/>
          <w:b/>
          <w:bCs/>
          <w:color w:val="000080"/>
          <w:sz w:val="32"/>
        </w:rPr>
      </w:pPr>
      <w:r>
        <w:rPr>
          <w:rFonts w:ascii="Arial" w:hAnsi="Arial" w:cs="Arial"/>
          <w:b/>
          <w:bCs/>
          <w:color w:val="000080"/>
          <w:sz w:val="32"/>
        </w:rPr>
        <w:t>Collection Fund</w:t>
      </w:r>
    </w:p>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F23FFF" w:rsidRDefault="00F23FFF"/>
    <w:p w:rsidR="00A04747" w:rsidRDefault="00A04747"/>
    <w:p w:rsidR="00A04747" w:rsidRDefault="00A04747"/>
    <w:p w:rsidR="00A04747" w:rsidRDefault="00A04747"/>
    <w:p w:rsidR="005E331A" w:rsidRDefault="005E331A"/>
    <w:p w:rsidR="005E331A" w:rsidRDefault="005E331A"/>
    <w:p w:rsidR="00F23FFF" w:rsidRDefault="00F23FFF"/>
    <w:p w:rsidR="00F23FFF" w:rsidRDefault="003552BC">
      <w:pPr>
        <w:pStyle w:val="Heading6"/>
        <w:jc w:val="left"/>
        <w:rPr>
          <w:rFonts w:ascii="Arial" w:hAnsi="Arial" w:cs="Arial"/>
          <w:sz w:val="28"/>
        </w:rPr>
      </w:pPr>
      <w:r>
        <w:rPr>
          <w:rFonts w:ascii="Arial" w:hAnsi="Arial" w:cs="Arial"/>
          <w:sz w:val="28"/>
        </w:rPr>
        <w:lastRenderedPageBreak/>
        <w:t>Housing Revenue Income and Expenditure Account</w:t>
      </w:r>
    </w:p>
    <w:p w:rsidR="00F23FFF" w:rsidRDefault="00B86129">
      <w:pPr>
        <w:pStyle w:val="xl65"/>
        <w:spacing w:before="0" w:beforeAutospacing="0" w:after="0" w:afterAutospacing="0"/>
        <w:ind w:right="-398"/>
        <w:rPr>
          <w:rFonts w:eastAsia="Times New Roman"/>
          <w:color w:val="000000" w:themeColor="text1"/>
          <w:szCs w:val="20"/>
        </w:rPr>
      </w:pPr>
      <w:r w:rsidRPr="001C6A9D">
        <w:rPr>
          <w:rFonts w:eastAsia="Times New Roman"/>
          <w:color w:val="000000" w:themeColor="text1"/>
          <w:szCs w:val="20"/>
        </w:rPr>
        <w:t>The HRA Income and Expenditure Statement shows the economic cost in the year of providing housing services in accordance with</w:t>
      </w:r>
      <w:r w:rsidR="004D202A" w:rsidRPr="001C6A9D">
        <w:rPr>
          <w:rFonts w:eastAsia="Times New Roman"/>
          <w:color w:val="000000" w:themeColor="text1"/>
          <w:szCs w:val="20"/>
        </w:rPr>
        <w:t xml:space="preserve"> generally accepted accounting practices, rather than the amount to be funded from rents and government grants. Authorities charge rents to cover expenditure in accordance with the legislative framework; this may be different from the accounting cost. The increase or decrease in the year, on the basis on which rents are raised, is shown in the Movement on the Housing Revenue Account Statement.</w:t>
      </w:r>
    </w:p>
    <w:p w:rsidR="00C823D3" w:rsidRPr="001C6A9D" w:rsidRDefault="00C823D3" w:rsidP="005D1E3D">
      <w:pPr>
        <w:pStyle w:val="xl65"/>
        <w:spacing w:before="0" w:beforeAutospacing="0" w:after="0" w:afterAutospacing="0"/>
        <w:ind w:left="-284" w:right="-398"/>
        <w:rPr>
          <w:rFonts w:eastAsia="Times New Roman"/>
          <w:color w:val="000000" w:themeColor="text1"/>
          <w:szCs w:val="20"/>
        </w:rPr>
      </w:pPr>
    </w:p>
    <w:p w:rsidR="00E231FE" w:rsidRDefault="00E231FE" w:rsidP="00645B76">
      <w:pPr>
        <w:pStyle w:val="xl65"/>
        <w:spacing w:before="0" w:beforeAutospacing="0" w:after="0" w:afterAutospacing="0"/>
        <w:ind w:right="-398"/>
        <w:jc w:val="center"/>
        <w:rPr>
          <w:rFonts w:eastAsia="Times New Roman"/>
          <w:szCs w:val="20"/>
        </w:rPr>
      </w:pPr>
    </w:p>
    <w:p w:rsidR="003D61A9" w:rsidRDefault="005D1E3D" w:rsidP="00703F2D">
      <w:pPr>
        <w:pStyle w:val="xl65"/>
        <w:spacing w:before="0" w:beforeAutospacing="0" w:after="0" w:afterAutospacing="0"/>
        <w:ind w:left="-709" w:right="-398"/>
        <w:jc w:val="center"/>
        <w:rPr>
          <w:rFonts w:eastAsia="Times New Roman"/>
          <w:szCs w:val="20"/>
        </w:rPr>
      </w:pPr>
      <w:r w:rsidRPr="005D1E3D">
        <w:rPr>
          <w:noProof/>
          <w:lang w:eastAsia="en-GB"/>
        </w:rPr>
        <w:drawing>
          <wp:inline distT="0" distB="0" distL="0" distR="0" wp14:anchorId="21B53584" wp14:editId="3FD2D980">
            <wp:extent cx="6191250" cy="6677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5681" cy="6681803"/>
                    </a:xfrm>
                    <a:prstGeom prst="rect">
                      <a:avLst/>
                    </a:prstGeom>
                    <a:noFill/>
                    <a:ln>
                      <a:noFill/>
                    </a:ln>
                  </pic:spPr>
                </pic:pic>
              </a:graphicData>
            </a:graphic>
          </wp:inline>
        </w:drawing>
      </w:r>
    </w:p>
    <w:p w:rsidR="00F23FFF" w:rsidRDefault="00F23FFF" w:rsidP="003D61A9">
      <w:pPr>
        <w:pStyle w:val="xl65"/>
        <w:spacing w:before="0" w:beforeAutospacing="0" w:after="0" w:afterAutospacing="0"/>
        <w:ind w:right="-398"/>
        <w:jc w:val="center"/>
        <w:rPr>
          <w:rFonts w:eastAsia="Times New Roman"/>
          <w:szCs w:val="20"/>
        </w:rPr>
      </w:pPr>
    </w:p>
    <w:p w:rsidR="00213283" w:rsidRDefault="00213283">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5D1E3D" w:rsidRDefault="005D1E3D">
      <w:pPr>
        <w:jc w:val="both"/>
        <w:rPr>
          <w:rFonts w:ascii="Arial" w:hAnsi="Arial" w:cs="Arial"/>
          <w:sz w:val="22"/>
        </w:rPr>
      </w:pPr>
    </w:p>
    <w:p w:rsidR="00F23FFF" w:rsidRDefault="003552BC">
      <w:pPr>
        <w:rPr>
          <w:rFonts w:ascii="Arial" w:hAnsi="Arial" w:cs="Arial"/>
          <w:b/>
          <w:bCs/>
          <w:color w:val="000080"/>
          <w:sz w:val="28"/>
        </w:rPr>
      </w:pPr>
      <w:r>
        <w:rPr>
          <w:rFonts w:ascii="Arial" w:hAnsi="Arial" w:cs="Arial"/>
          <w:b/>
          <w:bCs/>
          <w:color w:val="000080"/>
          <w:sz w:val="28"/>
        </w:rPr>
        <w:t>Statement of Movement on the Housing Revenue Income and Expenditure Account</w:t>
      </w:r>
    </w:p>
    <w:p w:rsidR="00F23FFF" w:rsidRDefault="00F23FFF">
      <w:pPr>
        <w:rPr>
          <w:rFonts w:ascii="Arial" w:hAnsi="Arial" w:cs="Arial"/>
          <w:b/>
          <w:bCs/>
          <w:color w:val="000080"/>
          <w:sz w:val="22"/>
        </w:rPr>
      </w:pPr>
    </w:p>
    <w:p w:rsidR="00F23FFF" w:rsidRDefault="003552BC">
      <w:pPr>
        <w:pStyle w:val="xl65"/>
        <w:spacing w:before="0" w:beforeAutospacing="0" w:after="0" w:afterAutospacing="0"/>
        <w:rPr>
          <w:rFonts w:eastAsia="Times New Roman"/>
          <w:szCs w:val="20"/>
        </w:rPr>
      </w:pPr>
      <w:r>
        <w:rPr>
          <w:rFonts w:eastAsia="Times New Roman"/>
          <w:szCs w:val="20"/>
        </w:rPr>
        <w:t>Additional items required by statute and proper practices to be taken into account in determining the movement in the Housing Revenue Account balance;</w:t>
      </w:r>
    </w:p>
    <w:p w:rsidR="00F23FFF" w:rsidRDefault="00F23FFF">
      <w:pPr>
        <w:rPr>
          <w:rFonts w:ascii="Arial" w:hAnsi="Arial" w:cs="Arial"/>
          <w:b/>
          <w:bCs/>
          <w:color w:val="000080"/>
          <w:sz w:val="22"/>
        </w:rPr>
      </w:pPr>
    </w:p>
    <w:p w:rsidR="00F23FFF" w:rsidRDefault="00F23FFF">
      <w:pPr>
        <w:rPr>
          <w:rFonts w:ascii="Arial" w:hAnsi="Arial" w:cs="Arial"/>
          <w:b/>
          <w:bCs/>
          <w:color w:val="000080"/>
          <w:sz w:val="22"/>
        </w:rPr>
      </w:pPr>
    </w:p>
    <w:p w:rsidR="00F23FFF" w:rsidRDefault="00F23FFF">
      <w:pPr>
        <w:rPr>
          <w:rFonts w:ascii="Arial" w:hAnsi="Arial" w:cs="Arial"/>
          <w:b/>
          <w:bCs/>
          <w:color w:val="000080"/>
          <w:sz w:val="22"/>
        </w:rPr>
      </w:pPr>
    </w:p>
    <w:p w:rsidR="00F23FFF" w:rsidRDefault="005D1E3D" w:rsidP="003D61A9">
      <w:pPr>
        <w:jc w:val="center"/>
        <w:rPr>
          <w:rFonts w:ascii="Arial" w:hAnsi="Arial" w:cs="Arial"/>
          <w:color w:val="000080"/>
          <w:sz w:val="22"/>
        </w:rPr>
        <w:sectPr w:rsidR="00F23FFF" w:rsidSect="005D1E3D">
          <w:type w:val="continuous"/>
          <w:pgSz w:w="11907" w:h="16840" w:code="9"/>
          <w:pgMar w:top="1440" w:right="1531" w:bottom="1134" w:left="1701" w:header="720" w:footer="720" w:gutter="0"/>
          <w:cols w:space="720"/>
        </w:sectPr>
      </w:pPr>
      <w:r w:rsidRPr="005D1E3D">
        <w:rPr>
          <w:noProof/>
          <w:lang w:eastAsia="en-GB"/>
        </w:rPr>
        <w:drawing>
          <wp:inline distT="0" distB="0" distL="0" distR="0" wp14:anchorId="07DC944F" wp14:editId="343241BD">
            <wp:extent cx="5953124"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7384" cy="4136808"/>
                    </a:xfrm>
                    <a:prstGeom prst="rect">
                      <a:avLst/>
                    </a:prstGeom>
                    <a:noFill/>
                    <a:ln>
                      <a:noFill/>
                    </a:ln>
                  </pic:spPr>
                </pic:pic>
              </a:graphicData>
            </a:graphic>
          </wp:inline>
        </w:drawing>
      </w:r>
    </w:p>
    <w:p w:rsidR="00F23FFF" w:rsidRDefault="003552BC">
      <w:pPr>
        <w:pStyle w:val="Heading5"/>
        <w:jc w:val="left"/>
        <w:rPr>
          <w:rFonts w:ascii="Arial" w:hAnsi="Arial" w:cs="Arial"/>
          <w:color w:val="000080"/>
          <w:sz w:val="28"/>
        </w:rPr>
      </w:pPr>
      <w:r>
        <w:rPr>
          <w:rFonts w:ascii="Arial" w:hAnsi="Arial" w:cs="Arial"/>
          <w:color w:val="000080"/>
          <w:sz w:val="28"/>
        </w:rPr>
        <w:lastRenderedPageBreak/>
        <w:t>The Collection Fund</w:t>
      </w:r>
    </w:p>
    <w:p w:rsidR="00F23FFF" w:rsidRDefault="00F23FFF"/>
    <w:p w:rsidR="00B90EF4" w:rsidRPr="00C27157" w:rsidRDefault="00642E75">
      <w:pPr>
        <w:rPr>
          <w:rFonts w:ascii="Arial" w:hAnsi="Arial" w:cs="Arial"/>
          <w:sz w:val="22"/>
          <w:szCs w:val="22"/>
        </w:rPr>
      </w:pPr>
      <w:r>
        <w:rPr>
          <w:rFonts w:ascii="Arial" w:hAnsi="Arial" w:cs="Arial"/>
          <w:sz w:val="22"/>
          <w:szCs w:val="22"/>
        </w:rPr>
        <w:t>The Collection Fund is an agent’s statement that reflects the statutory obligation for billing authorities to maintain a separate Collection Fund. The statement shows the transactions of the billin</w:t>
      </w:r>
      <w:r w:rsidR="00521091">
        <w:rPr>
          <w:rFonts w:ascii="Arial" w:hAnsi="Arial" w:cs="Arial"/>
          <w:sz w:val="22"/>
          <w:szCs w:val="22"/>
        </w:rPr>
        <w:t>g authority in relation to the collection from taxpayers and distribution to local authorities and the Government of council tax and non-domestic rates.</w:t>
      </w:r>
    </w:p>
    <w:p w:rsidR="00B90EF4" w:rsidRDefault="00B90EF4"/>
    <w:tbl>
      <w:tblPr>
        <w:tblW w:w="10080" w:type="dxa"/>
        <w:jc w:val="center"/>
        <w:tblInd w:w="93" w:type="dxa"/>
        <w:tblLook w:val="04A0" w:firstRow="1" w:lastRow="0" w:firstColumn="1" w:lastColumn="0" w:noHBand="0" w:noVBand="1"/>
      </w:tblPr>
      <w:tblGrid>
        <w:gridCol w:w="1351"/>
        <w:gridCol w:w="272"/>
        <w:gridCol w:w="4499"/>
        <w:gridCol w:w="272"/>
        <w:gridCol w:w="1351"/>
        <w:gridCol w:w="1351"/>
        <w:gridCol w:w="1462"/>
      </w:tblGrid>
      <w:tr w:rsidR="006711FA" w:rsidRPr="006711FA" w:rsidTr="006711FA">
        <w:trPr>
          <w:trHeight w:val="510"/>
          <w:jc w:val="center"/>
        </w:trPr>
        <w:tc>
          <w:tcPr>
            <w:tcW w:w="1311"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Council Tax</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Business Rates</w:t>
            </w:r>
          </w:p>
        </w:tc>
        <w:tc>
          <w:tcPr>
            <w:tcW w:w="1295"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Council Tax</w:t>
            </w:r>
          </w:p>
        </w:tc>
        <w:tc>
          <w:tcPr>
            <w:tcW w:w="1397"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Total</w:t>
            </w:r>
          </w:p>
        </w:tc>
      </w:tr>
      <w:tr w:rsidR="006711FA" w:rsidRPr="006711FA" w:rsidTr="006711FA">
        <w:trPr>
          <w:trHeight w:val="255"/>
          <w:jc w:val="center"/>
        </w:trPr>
        <w:tc>
          <w:tcPr>
            <w:tcW w:w="1311"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2012-13</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2013-14</w:t>
            </w:r>
          </w:p>
        </w:tc>
        <w:tc>
          <w:tcPr>
            <w:tcW w:w="1295"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2013-14</w:t>
            </w:r>
          </w:p>
        </w:tc>
        <w:tc>
          <w:tcPr>
            <w:tcW w:w="1397" w:type="dxa"/>
            <w:tcBorders>
              <w:top w:val="nil"/>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2013-14</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b/>
                <w:bCs/>
                <w:color w:val="0070C0"/>
                <w:lang w:eastAsia="en-GB"/>
              </w:rPr>
            </w:pPr>
            <w:r w:rsidRPr="006711FA">
              <w:rPr>
                <w:rFonts w:ascii="Arial" w:hAnsi="Arial" w:cs="Arial"/>
                <w:b/>
                <w:bCs/>
                <w:color w:val="0070C0"/>
                <w:lang w:eastAsia="en-GB"/>
              </w:rPr>
              <w:t>Income</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(84,580,062)</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Council Tax Receivable</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(89,310,516)</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(89,310,516)</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(6,197,010)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Transfers from General Fund Council Tax Benefits</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r>
      <w:tr w:rsidR="006711FA" w:rsidRPr="006711FA" w:rsidTr="006711FA">
        <w:trPr>
          <w:trHeight w:val="270"/>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(65,310,765)</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Business Rates Receivable</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(67,244,599)</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(67,244,599)</w:t>
            </w:r>
          </w:p>
        </w:tc>
      </w:tr>
      <w:tr w:rsidR="006711FA" w:rsidRPr="006711FA" w:rsidTr="006711FA">
        <w:trPr>
          <w:trHeight w:val="270"/>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(67,244,599)</w:t>
            </w:r>
          </w:p>
        </w:tc>
        <w:tc>
          <w:tcPr>
            <w:tcW w:w="1295"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(89,310,516)</w:t>
            </w:r>
          </w:p>
        </w:tc>
        <w:tc>
          <w:tcPr>
            <w:tcW w:w="1397"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(156,555,115)</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b/>
                <w:bCs/>
                <w:color w:val="0070C0"/>
                <w:lang w:eastAsia="en-GB"/>
              </w:rPr>
            </w:pPr>
            <w:r w:rsidRPr="006711FA">
              <w:rPr>
                <w:rFonts w:ascii="Arial" w:hAnsi="Arial" w:cs="Arial"/>
                <w:b/>
                <w:bCs/>
                <w:color w:val="0070C0"/>
                <w:lang w:eastAsia="en-GB"/>
              </w:rPr>
              <w:t>Expenditure</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i/>
                <w:iCs/>
                <w:color w:val="000000"/>
                <w:lang w:eastAsia="en-GB"/>
              </w:rPr>
            </w:pPr>
            <w:r w:rsidRPr="006711FA">
              <w:rPr>
                <w:rFonts w:ascii="Arial" w:hAnsi="Arial" w:cs="Arial"/>
                <w:i/>
                <w:iCs/>
                <w:color w:val="000000"/>
                <w:lang w:eastAsia="en-GB"/>
              </w:rPr>
              <w:t>Apportionment of previous years surplus/ (deficit)</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Central Government</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(382,742)</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County Council</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(79,178)</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(79,178)</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(21,139)</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&amp; Peterborough Fire Authority</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(4,354)</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(4,354)</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(61,938)</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Police and Crime Commissioner</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(12,810)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(12,810)</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(66,074)</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South Cambridgeshire District Council</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(13,352)</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(13,352)</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(109,694)</w:t>
            </w:r>
          </w:p>
        </w:tc>
        <w:tc>
          <w:tcPr>
            <w:tcW w:w="1397"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(109,694)</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i/>
                <w:iCs/>
                <w:color w:val="000000"/>
                <w:lang w:eastAsia="en-GB"/>
              </w:rPr>
            </w:pPr>
            <w:r w:rsidRPr="006711FA">
              <w:rPr>
                <w:rFonts w:ascii="Arial" w:hAnsi="Arial" w:cs="Arial"/>
                <w:i/>
                <w:iCs/>
                <w:color w:val="000000"/>
                <w:lang w:eastAsia="en-GB"/>
              </w:rPr>
              <w:t>Precepts, Demands and Shares</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65,093,345</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Payment to National Pool</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Central Government</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35,060,758</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35,060,758</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65,574,369</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County Council</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6,310,936</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63,320,139</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69,631,075</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3,605,633</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&amp; Peterborough Fire Authority</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701,215</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3,698,812</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4,400,027</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10,608,986</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Police and Crime Commissioner</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10,241,669</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10,241,669</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7,019,160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South Cambridgeshire District Council</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28,048,606</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6,947,042</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34,995,648</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4,039,148</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Special Expenses- Parish Precepts</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4,233,499</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4,233,499</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70,121,515</w:t>
            </w:r>
          </w:p>
        </w:tc>
        <w:tc>
          <w:tcPr>
            <w:tcW w:w="1295"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88,441,161</w:t>
            </w:r>
          </w:p>
        </w:tc>
        <w:tc>
          <w:tcPr>
            <w:tcW w:w="1397"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158,562,676</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i/>
                <w:iCs/>
                <w:color w:val="000000"/>
                <w:lang w:eastAsia="en-GB"/>
              </w:rPr>
            </w:pPr>
            <w:r w:rsidRPr="006711FA">
              <w:rPr>
                <w:rFonts w:ascii="Arial" w:hAnsi="Arial" w:cs="Arial"/>
                <w:i/>
                <w:iCs/>
                <w:color w:val="000000"/>
                <w:lang w:eastAsia="en-GB"/>
              </w:rPr>
              <w:t>Charges to Collection Fund</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82,468</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Write offs of uncollectable amounts</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394,875</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136,309</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531,184</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41,370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Increase/ (Decrease) in bad debt provision</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57,511</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38,029</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95,540</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Increase/(Decrease) in Provision for Appeals</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4,000,861</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4,000,861</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217,420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Cost of Collection</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218,656</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218,656</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Disregarded Amounts</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4,671,903</w:t>
            </w:r>
          </w:p>
        </w:tc>
        <w:tc>
          <w:tcPr>
            <w:tcW w:w="1295"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174,338</w:t>
            </w:r>
          </w:p>
        </w:tc>
        <w:tc>
          <w:tcPr>
            <w:tcW w:w="1397" w:type="dxa"/>
            <w:tcBorders>
              <w:top w:val="single" w:sz="4" w:space="0" w:color="auto"/>
              <w:left w:val="nil"/>
              <w:bottom w:val="single" w:sz="4" w:space="0" w:color="auto"/>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4,846,241</w:t>
            </w:r>
          </w:p>
        </w:tc>
      </w:tr>
      <w:tr w:rsidR="006711FA" w:rsidRPr="006711FA" w:rsidTr="006711FA">
        <w:trPr>
          <w:trHeight w:val="270"/>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70"/>
          <w:jc w:val="center"/>
        </w:trPr>
        <w:tc>
          <w:tcPr>
            <w:tcW w:w="1311"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(337,831)</w:t>
            </w:r>
          </w:p>
        </w:tc>
        <w:tc>
          <w:tcPr>
            <w:tcW w:w="160"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 </w:t>
            </w:r>
          </w:p>
        </w:tc>
        <w:tc>
          <w:tcPr>
            <w:tcW w:w="4499"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(Surplus)/ Deficit arising during the year</w:t>
            </w:r>
          </w:p>
        </w:tc>
        <w:tc>
          <w:tcPr>
            <w:tcW w:w="140"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 </w:t>
            </w:r>
          </w:p>
        </w:tc>
        <w:tc>
          <w:tcPr>
            <w:tcW w:w="1278"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7,548,819</w:t>
            </w:r>
          </w:p>
        </w:tc>
        <w:tc>
          <w:tcPr>
            <w:tcW w:w="1295"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(804,711)</w:t>
            </w:r>
          </w:p>
        </w:tc>
        <w:tc>
          <w:tcPr>
            <w:tcW w:w="1397" w:type="dxa"/>
            <w:tcBorders>
              <w:top w:val="single" w:sz="8" w:space="0" w:color="auto"/>
              <w:left w:val="nil"/>
              <w:bottom w:val="single" w:sz="8"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6,744,108</w:t>
            </w: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55"/>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335,198</w:t>
            </w: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(Surplus)/ Deficit at brought forward 1 April</w:t>
            </w: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0</w:t>
            </w:r>
          </w:p>
        </w:tc>
        <w:tc>
          <w:tcPr>
            <w:tcW w:w="1295"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(2,633)</w:t>
            </w:r>
          </w:p>
        </w:tc>
        <w:tc>
          <w:tcPr>
            <w:tcW w:w="1397"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(2,633)</w:t>
            </w:r>
          </w:p>
        </w:tc>
      </w:tr>
      <w:tr w:rsidR="006711FA" w:rsidRPr="006711FA" w:rsidTr="006711FA">
        <w:trPr>
          <w:trHeight w:val="270"/>
          <w:jc w:val="center"/>
        </w:trPr>
        <w:tc>
          <w:tcPr>
            <w:tcW w:w="1311"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4499"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4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78"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295"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397"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r>
      <w:tr w:rsidR="006711FA" w:rsidRPr="006711FA" w:rsidTr="006711FA">
        <w:trPr>
          <w:trHeight w:val="285"/>
          <w:jc w:val="center"/>
        </w:trPr>
        <w:tc>
          <w:tcPr>
            <w:tcW w:w="1311"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(2,633)</w:t>
            </w:r>
          </w:p>
        </w:tc>
        <w:tc>
          <w:tcPr>
            <w:tcW w:w="160"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 </w:t>
            </w:r>
          </w:p>
        </w:tc>
        <w:tc>
          <w:tcPr>
            <w:tcW w:w="4499"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(Surplus)/ Deficit at carried forward 31 March</w:t>
            </w:r>
          </w:p>
        </w:tc>
        <w:tc>
          <w:tcPr>
            <w:tcW w:w="140"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 </w:t>
            </w:r>
          </w:p>
        </w:tc>
        <w:tc>
          <w:tcPr>
            <w:tcW w:w="1278"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7,548,819</w:t>
            </w:r>
          </w:p>
        </w:tc>
        <w:tc>
          <w:tcPr>
            <w:tcW w:w="1295"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(807,344)</w:t>
            </w:r>
          </w:p>
        </w:tc>
        <w:tc>
          <w:tcPr>
            <w:tcW w:w="1397" w:type="dxa"/>
            <w:tcBorders>
              <w:top w:val="single" w:sz="12" w:space="0" w:color="auto"/>
              <w:left w:val="nil"/>
              <w:bottom w:val="single" w:sz="12" w:space="0" w:color="auto"/>
              <w:right w:val="nil"/>
            </w:tcBorders>
            <w:shd w:val="clear" w:color="auto" w:fill="auto"/>
            <w:noWrap/>
            <w:vAlign w:val="bottom"/>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6,741,475</w:t>
            </w:r>
          </w:p>
        </w:tc>
      </w:tr>
    </w:tbl>
    <w:p w:rsidR="00521091" w:rsidRDefault="00521091" w:rsidP="006711FA">
      <w:pPr>
        <w:jc w:val="center"/>
      </w:pPr>
    </w:p>
    <w:p w:rsidR="00B90EF4" w:rsidRDefault="00B90EF4" w:rsidP="00DE23DE">
      <w:pPr>
        <w:ind w:left="-851" w:right="-397"/>
        <w:jc w:val="center"/>
        <w:rPr>
          <w:rFonts w:ascii="Arial" w:hAnsi="Arial" w:cs="Arial"/>
          <w:sz w:val="22"/>
        </w:rPr>
      </w:pPr>
    </w:p>
    <w:p w:rsidR="00B90EF4" w:rsidRDefault="00B90EF4">
      <w:pPr>
        <w:jc w:val="both"/>
        <w:rPr>
          <w:rFonts w:ascii="Arial" w:hAnsi="Arial" w:cs="Arial"/>
          <w:sz w:val="22"/>
        </w:rPr>
      </w:pPr>
    </w:p>
    <w:p w:rsidR="005F1D50" w:rsidRDefault="005F1D50">
      <w:pPr>
        <w:pStyle w:val="Heading6"/>
        <w:rPr>
          <w:rFonts w:ascii="Arial" w:hAnsi="Arial" w:cs="Arial"/>
          <w:bCs/>
          <w:sz w:val="28"/>
        </w:rPr>
      </w:pPr>
    </w:p>
    <w:p w:rsidR="00DE23DE" w:rsidRDefault="00DE23DE" w:rsidP="00DE23DE"/>
    <w:p w:rsidR="005E331A" w:rsidRDefault="005E331A" w:rsidP="00DE23DE"/>
    <w:p w:rsidR="00521091" w:rsidRDefault="00521091" w:rsidP="00DE23DE"/>
    <w:p w:rsidR="00DE23DE" w:rsidRPr="00DE23DE" w:rsidRDefault="00DE23DE" w:rsidP="00DE23DE"/>
    <w:p w:rsidR="00F23FFF" w:rsidRDefault="003552BC">
      <w:pPr>
        <w:pStyle w:val="Heading6"/>
        <w:rPr>
          <w:rFonts w:ascii="Arial" w:hAnsi="Arial" w:cs="Arial"/>
          <w:bCs/>
          <w:sz w:val="28"/>
        </w:rPr>
      </w:pPr>
      <w:r>
        <w:rPr>
          <w:rFonts w:ascii="Arial" w:hAnsi="Arial" w:cs="Arial"/>
          <w:bCs/>
          <w:sz w:val="28"/>
        </w:rPr>
        <w:t>Collection Fund balance:</w:t>
      </w: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Pr="005D1E3D" w:rsidRDefault="003552BC">
      <w:pPr>
        <w:jc w:val="both"/>
        <w:rPr>
          <w:rFonts w:ascii="Arial" w:hAnsi="Arial" w:cs="Arial"/>
          <w:color w:val="0033CC"/>
          <w:sz w:val="22"/>
        </w:rPr>
      </w:pPr>
      <w:r w:rsidRPr="005D1E3D">
        <w:rPr>
          <w:rFonts w:ascii="Arial" w:hAnsi="Arial" w:cs="Arial"/>
          <w:color w:val="0033CC"/>
          <w:sz w:val="22"/>
        </w:rPr>
        <w:t>Attribution of (surplus) / deficit carried forward:</w:t>
      </w:r>
    </w:p>
    <w:p w:rsidR="00B1680A" w:rsidRDefault="00B1680A">
      <w:pPr>
        <w:jc w:val="both"/>
        <w:rPr>
          <w:rFonts w:ascii="Arial" w:hAnsi="Arial" w:cs="Arial"/>
          <w:sz w:val="22"/>
        </w:rPr>
      </w:pPr>
    </w:p>
    <w:p w:rsidR="00F23FFF" w:rsidRDefault="00F23FFF">
      <w:pPr>
        <w:jc w:val="both"/>
        <w:rPr>
          <w:rFonts w:ascii="Arial" w:hAnsi="Arial" w:cs="Arial"/>
          <w:sz w:val="22"/>
        </w:rPr>
      </w:pPr>
    </w:p>
    <w:tbl>
      <w:tblPr>
        <w:tblW w:w="8520" w:type="dxa"/>
        <w:jc w:val="center"/>
        <w:tblInd w:w="93" w:type="dxa"/>
        <w:tblLook w:val="04A0" w:firstRow="1" w:lastRow="0" w:firstColumn="1" w:lastColumn="0" w:noHBand="0" w:noVBand="1"/>
      </w:tblPr>
      <w:tblGrid>
        <w:gridCol w:w="272"/>
        <w:gridCol w:w="1160"/>
        <w:gridCol w:w="580"/>
        <w:gridCol w:w="3160"/>
        <w:gridCol w:w="1160"/>
        <w:gridCol w:w="1160"/>
        <w:gridCol w:w="1180"/>
      </w:tblGrid>
      <w:tr w:rsidR="006711FA" w:rsidRPr="006711FA" w:rsidTr="006711FA">
        <w:trPr>
          <w:trHeight w:val="660"/>
          <w:jc w:val="center"/>
        </w:trPr>
        <w:tc>
          <w:tcPr>
            <w:tcW w:w="120" w:type="dxa"/>
            <w:tcBorders>
              <w:top w:val="single" w:sz="4" w:space="0" w:color="auto"/>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single" w:sz="4" w:space="0" w:color="auto"/>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Council Tax</w:t>
            </w:r>
          </w:p>
        </w:tc>
        <w:tc>
          <w:tcPr>
            <w:tcW w:w="580" w:type="dxa"/>
            <w:tcBorders>
              <w:top w:val="single" w:sz="4" w:space="0" w:color="auto"/>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3160" w:type="dxa"/>
            <w:tcBorders>
              <w:top w:val="single" w:sz="4" w:space="0" w:color="auto"/>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single" w:sz="4" w:space="0" w:color="auto"/>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Business Rates</w:t>
            </w:r>
          </w:p>
        </w:tc>
        <w:tc>
          <w:tcPr>
            <w:tcW w:w="1160" w:type="dxa"/>
            <w:tcBorders>
              <w:top w:val="single" w:sz="4" w:space="0" w:color="auto"/>
              <w:left w:val="nil"/>
              <w:bottom w:val="nil"/>
              <w:right w:val="nil"/>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Council Tax</w:t>
            </w:r>
          </w:p>
        </w:tc>
        <w:tc>
          <w:tcPr>
            <w:tcW w:w="1180" w:type="dxa"/>
            <w:tcBorders>
              <w:top w:val="single" w:sz="4" w:space="0" w:color="auto"/>
              <w:left w:val="nil"/>
              <w:bottom w:val="nil"/>
              <w:right w:val="single" w:sz="4" w:space="0" w:color="auto"/>
            </w:tcBorders>
            <w:shd w:val="clear" w:color="auto" w:fill="auto"/>
            <w:vAlign w:val="bottom"/>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Total</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2012-13</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2013-14</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2013-14</w:t>
            </w:r>
          </w:p>
        </w:tc>
        <w:tc>
          <w:tcPr>
            <w:tcW w:w="1180" w:type="dxa"/>
            <w:tcBorders>
              <w:top w:val="nil"/>
              <w:left w:val="nil"/>
              <w:bottom w:val="nil"/>
              <w:right w:val="single" w:sz="4" w:space="0" w:color="auto"/>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2013-14</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c>
          <w:tcPr>
            <w:tcW w:w="1180" w:type="dxa"/>
            <w:tcBorders>
              <w:top w:val="nil"/>
              <w:left w:val="nil"/>
              <w:bottom w:val="nil"/>
              <w:right w:val="single" w:sz="4" w:space="0" w:color="auto"/>
            </w:tcBorders>
            <w:shd w:val="clear" w:color="auto" w:fill="auto"/>
            <w:noWrap/>
            <w:vAlign w:val="center"/>
            <w:hideMark/>
          </w:tcPr>
          <w:p w:rsidR="006711FA" w:rsidRPr="006711FA" w:rsidRDefault="006711FA" w:rsidP="006711FA">
            <w:pPr>
              <w:jc w:val="center"/>
              <w:rPr>
                <w:rFonts w:ascii="Arial" w:hAnsi="Arial" w:cs="Arial"/>
                <w:b/>
                <w:bCs/>
                <w:color w:val="000000"/>
                <w:lang w:eastAsia="en-GB"/>
              </w:rPr>
            </w:pPr>
            <w:r w:rsidRPr="006711FA">
              <w:rPr>
                <w:rFonts w:ascii="Arial" w:hAnsi="Arial" w:cs="Arial"/>
                <w:b/>
                <w:bCs/>
                <w:color w:val="000000"/>
                <w:lang w:eastAsia="en-GB"/>
              </w:rPr>
              <w:t>£</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b/>
                <w:bCs/>
                <w:color w:val="0070C0"/>
                <w:lang w:eastAsia="en-GB"/>
              </w:rPr>
            </w:pPr>
            <w:r w:rsidRPr="006711FA">
              <w:rPr>
                <w:rFonts w:ascii="Arial" w:hAnsi="Arial" w:cs="Arial"/>
                <w:b/>
                <w:bCs/>
                <w:color w:val="0070C0"/>
                <w:lang w:eastAsia="en-GB"/>
              </w:rPr>
              <w:t>Proportional split</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0 </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Central Government</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3,774,410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0 </w:t>
            </w: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3,774,410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(1,255)</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center"/>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County Council</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679,394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(578,024)</w:t>
            </w: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101,370 </w:t>
            </w:r>
          </w:p>
        </w:tc>
      </w:tr>
      <w:tr w:rsidR="006711FA" w:rsidRPr="006711FA" w:rsidTr="006711FA">
        <w:trPr>
          <w:trHeight w:val="60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(200)</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vAlign w:val="center"/>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Police and Crime Commissioner</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0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(93,492)</w:t>
            </w: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(93,492)</w:t>
            </w:r>
          </w:p>
        </w:tc>
      </w:tr>
      <w:tr w:rsidR="006711FA" w:rsidRPr="006711FA" w:rsidTr="006711FA">
        <w:trPr>
          <w:trHeight w:val="60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(345)</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vAlign w:val="center"/>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Cambridgeshire and Peterborough Fire Authority</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75,488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(33,765)</w:t>
            </w: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41,723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single" w:sz="8" w:space="0" w:color="auto"/>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(1,800)</w:t>
            </w:r>
          </w:p>
        </w:tc>
        <w:tc>
          <w:tcPr>
            <w:tcW w:w="580" w:type="dxa"/>
            <w:tcBorders>
              <w:top w:val="single" w:sz="8" w:space="0" w:color="auto"/>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3160" w:type="dxa"/>
            <w:tcBorders>
              <w:top w:val="single" w:sz="8" w:space="0" w:color="auto"/>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single" w:sz="8" w:space="0" w:color="auto"/>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4,529,291 </w:t>
            </w:r>
          </w:p>
        </w:tc>
        <w:tc>
          <w:tcPr>
            <w:tcW w:w="1160" w:type="dxa"/>
            <w:tcBorders>
              <w:top w:val="single" w:sz="8" w:space="0" w:color="auto"/>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(705,281)</w:t>
            </w:r>
          </w:p>
        </w:tc>
        <w:tc>
          <w:tcPr>
            <w:tcW w:w="1180" w:type="dxa"/>
            <w:tcBorders>
              <w:top w:val="single" w:sz="8" w:space="0" w:color="auto"/>
              <w:left w:val="nil"/>
              <w:bottom w:val="nil"/>
              <w:right w:val="single" w:sz="4" w:space="0" w:color="auto"/>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3,824,010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(833)</w:t>
            </w: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center"/>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District Council</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3,019,528 </w:t>
            </w:r>
          </w:p>
        </w:tc>
        <w:tc>
          <w:tcPr>
            <w:tcW w:w="1160" w:type="dxa"/>
            <w:tcBorders>
              <w:top w:val="nil"/>
              <w:left w:val="nil"/>
              <w:bottom w:val="nil"/>
              <w:right w:val="nil"/>
            </w:tcBorders>
            <w:shd w:val="clear" w:color="auto" w:fill="auto"/>
            <w:noWrap/>
            <w:vAlign w:val="center"/>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(102,063)</w:t>
            </w: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jc w:val="right"/>
              <w:rPr>
                <w:rFonts w:ascii="Arial" w:hAnsi="Arial" w:cs="Arial"/>
                <w:color w:val="000000"/>
                <w:lang w:eastAsia="en-GB"/>
              </w:rPr>
            </w:pPr>
            <w:r w:rsidRPr="006711FA">
              <w:rPr>
                <w:rFonts w:ascii="Arial" w:hAnsi="Arial" w:cs="Arial"/>
                <w:color w:val="000000"/>
                <w:lang w:eastAsia="en-GB"/>
              </w:rPr>
              <w:t xml:space="preserve">2,917,465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58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3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60" w:type="dxa"/>
            <w:tcBorders>
              <w:top w:val="nil"/>
              <w:left w:val="nil"/>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p>
        </w:tc>
        <w:tc>
          <w:tcPr>
            <w:tcW w:w="1180" w:type="dxa"/>
            <w:tcBorders>
              <w:top w:val="nil"/>
              <w:left w:val="nil"/>
              <w:bottom w:val="nil"/>
              <w:right w:val="single" w:sz="4" w:space="0" w:color="auto"/>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r>
      <w:tr w:rsidR="006711FA" w:rsidRPr="006711FA" w:rsidTr="006711FA">
        <w:trPr>
          <w:trHeight w:val="270"/>
          <w:jc w:val="center"/>
        </w:trPr>
        <w:tc>
          <w:tcPr>
            <w:tcW w:w="120" w:type="dxa"/>
            <w:tcBorders>
              <w:top w:val="nil"/>
              <w:left w:val="single" w:sz="4" w:space="0" w:color="auto"/>
              <w:bottom w:val="nil"/>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single" w:sz="8" w:space="0" w:color="auto"/>
              <w:left w:val="nil"/>
              <w:bottom w:val="single" w:sz="8" w:space="0" w:color="auto"/>
              <w:right w:val="nil"/>
            </w:tcBorders>
            <w:shd w:val="clear" w:color="auto" w:fill="auto"/>
            <w:noWrap/>
            <w:vAlign w:val="center"/>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(2,633)</w:t>
            </w:r>
          </w:p>
        </w:tc>
        <w:tc>
          <w:tcPr>
            <w:tcW w:w="580" w:type="dxa"/>
            <w:tcBorders>
              <w:top w:val="single" w:sz="8" w:space="0" w:color="auto"/>
              <w:left w:val="nil"/>
              <w:bottom w:val="single" w:sz="8" w:space="0" w:color="auto"/>
              <w:right w:val="nil"/>
            </w:tcBorders>
            <w:shd w:val="clear" w:color="auto" w:fill="auto"/>
            <w:noWrap/>
            <w:vAlign w:val="center"/>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 </w:t>
            </w:r>
          </w:p>
        </w:tc>
        <w:tc>
          <w:tcPr>
            <w:tcW w:w="3160" w:type="dxa"/>
            <w:tcBorders>
              <w:top w:val="single" w:sz="8" w:space="0" w:color="auto"/>
              <w:left w:val="nil"/>
              <w:bottom w:val="single" w:sz="8" w:space="0" w:color="auto"/>
              <w:right w:val="nil"/>
            </w:tcBorders>
            <w:shd w:val="clear" w:color="auto" w:fill="auto"/>
            <w:noWrap/>
            <w:vAlign w:val="center"/>
            <w:hideMark/>
          </w:tcPr>
          <w:p w:rsidR="006711FA" w:rsidRPr="006711FA" w:rsidRDefault="006711FA" w:rsidP="006711FA">
            <w:pPr>
              <w:rPr>
                <w:rFonts w:ascii="Arial" w:hAnsi="Arial" w:cs="Arial"/>
                <w:b/>
                <w:bCs/>
                <w:color w:val="000000"/>
                <w:lang w:eastAsia="en-GB"/>
              </w:rPr>
            </w:pPr>
            <w:r w:rsidRPr="006711FA">
              <w:rPr>
                <w:rFonts w:ascii="Arial" w:hAnsi="Arial" w:cs="Arial"/>
                <w:b/>
                <w:bCs/>
                <w:color w:val="000000"/>
                <w:lang w:eastAsia="en-GB"/>
              </w:rPr>
              <w:t>Deficit/(Surplus)</w:t>
            </w:r>
          </w:p>
        </w:tc>
        <w:tc>
          <w:tcPr>
            <w:tcW w:w="1160" w:type="dxa"/>
            <w:tcBorders>
              <w:top w:val="single" w:sz="8" w:space="0" w:color="auto"/>
              <w:left w:val="nil"/>
              <w:bottom w:val="single" w:sz="8" w:space="0" w:color="auto"/>
              <w:right w:val="nil"/>
            </w:tcBorders>
            <w:shd w:val="clear" w:color="auto" w:fill="auto"/>
            <w:noWrap/>
            <w:vAlign w:val="center"/>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 xml:space="preserve">7,548,819 </w:t>
            </w:r>
          </w:p>
        </w:tc>
        <w:tc>
          <w:tcPr>
            <w:tcW w:w="1160" w:type="dxa"/>
            <w:tcBorders>
              <w:top w:val="single" w:sz="8" w:space="0" w:color="auto"/>
              <w:left w:val="nil"/>
              <w:bottom w:val="single" w:sz="8" w:space="0" w:color="auto"/>
              <w:right w:val="nil"/>
            </w:tcBorders>
            <w:shd w:val="clear" w:color="auto" w:fill="auto"/>
            <w:noWrap/>
            <w:vAlign w:val="center"/>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(807,344)</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6711FA" w:rsidRPr="006711FA" w:rsidRDefault="006711FA" w:rsidP="006711FA">
            <w:pPr>
              <w:jc w:val="right"/>
              <w:rPr>
                <w:rFonts w:ascii="Arial" w:hAnsi="Arial" w:cs="Arial"/>
                <w:b/>
                <w:bCs/>
                <w:color w:val="000000"/>
                <w:lang w:eastAsia="en-GB"/>
              </w:rPr>
            </w:pPr>
            <w:r w:rsidRPr="006711FA">
              <w:rPr>
                <w:rFonts w:ascii="Arial" w:hAnsi="Arial" w:cs="Arial"/>
                <w:b/>
                <w:bCs/>
                <w:color w:val="000000"/>
                <w:lang w:eastAsia="en-GB"/>
              </w:rPr>
              <w:t xml:space="preserve">6,741,475 </w:t>
            </w:r>
          </w:p>
        </w:tc>
      </w:tr>
      <w:tr w:rsidR="006711FA" w:rsidRPr="006711FA" w:rsidTr="006711FA">
        <w:trPr>
          <w:trHeight w:val="270"/>
          <w:jc w:val="center"/>
        </w:trPr>
        <w:tc>
          <w:tcPr>
            <w:tcW w:w="120" w:type="dxa"/>
            <w:tcBorders>
              <w:top w:val="nil"/>
              <w:left w:val="single" w:sz="4" w:space="0" w:color="auto"/>
              <w:bottom w:val="single" w:sz="4" w:space="0" w:color="auto"/>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580" w:type="dxa"/>
            <w:tcBorders>
              <w:top w:val="nil"/>
              <w:left w:val="nil"/>
              <w:bottom w:val="single" w:sz="4" w:space="0" w:color="auto"/>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3160" w:type="dxa"/>
            <w:tcBorders>
              <w:top w:val="nil"/>
              <w:left w:val="nil"/>
              <w:bottom w:val="single" w:sz="4" w:space="0" w:color="auto"/>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rsidR="006711FA" w:rsidRPr="006711FA" w:rsidRDefault="006711FA" w:rsidP="006711FA">
            <w:pPr>
              <w:rPr>
                <w:rFonts w:ascii="Arial" w:hAnsi="Arial" w:cs="Arial"/>
                <w:color w:val="000000"/>
                <w:lang w:eastAsia="en-GB"/>
              </w:rPr>
            </w:pPr>
            <w:r w:rsidRPr="006711FA">
              <w:rPr>
                <w:rFonts w:ascii="Arial" w:hAnsi="Arial" w:cs="Arial"/>
                <w:color w:val="000000"/>
                <w:lang w:eastAsia="en-GB"/>
              </w:rPr>
              <w:t> </w:t>
            </w:r>
          </w:p>
        </w:tc>
      </w:tr>
    </w:tbl>
    <w:p w:rsidR="00F23FFF" w:rsidRDefault="00F23FFF" w:rsidP="000A5A1E">
      <w:pPr>
        <w:ind w:left="-709"/>
        <w:jc w:val="center"/>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672827" w:rsidRDefault="00672827" w:rsidP="005F1D50">
      <w:pPr>
        <w:rPr>
          <w:rFonts w:ascii="Arial" w:hAnsi="Arial" w:cs="Arial"/>
          <w:sz w:val="22"/>
        </w:rPr>
      </w:pPr>
      <w:r>
        <w:rPr>
          <w:rFonts w:ascii="Arial" w:hAnsi="Arial" w:cs="Arial"/>
          <w:sz w:val="22"/>
        </w:rPr>
        <w:t xml:space="preserve">The </w:t>
      </w:r>
      <w:r w:rsidR="00DE23DE">
        <w:rPr>
          <w:rFonts w:ascii="Arial" w:hAnsi="Arial" w:cs="Arial"/>
          <w:sz w:val="22"/>
        </w:rPr>
        <w:t>surplus</w:t>
      </w:r>
      <w:r w:rsidR="007167DD">
        <w:rPr>
          <w:rFonts w:ascii="Arial" w:hAnsi="Arial" w:cs="Arial"/>
          <w:sz w:val="22"/>
        </w:rPr>
        <w:t xml:space="preserve"> relating to council t</w:t>
      </w:r>
      <w:r>
        <w:rPr>
          <w:rFonts w:ascii="Arial" w:hAnsi="Arial" w:cs="Arial"/>
          <w:sz w:val="22"/>
        </w:rPr>
        <w:t>ax transactions</w:t>
      </w:r>
      <w:r w:rsidR="007167DD">
        <w:rPr>
          <w:rFonts w:ascii="Arial" w:hAnsi="Arial" w:cs="Arial"/>
          <w:sz w:val="22"/>
        </w:rPr>
        <w:t xml:space="preserve"> and deficit relating to business rates</w:t>
      </w:r>
      <w:r>
        <w:rPr>
          <w:rFonts w:ascii="Arial" w:hAnsi="Arial" w:cs="Arial"/>
          <w:sz w:val="22"/>
        </w:rPr>
        <w:t xml:space="preserve"> due to </w:t>
      </w:r>
      <w:r w:rsidR="007167DD">
        <w:rPr>
          <w:rFonts w:ascii="Arial" w:hAnsi="Arial" w:cs="Arial"/>
          <w:sz w:val="22"/>
        </w:rPr>
        <w:t xml:space="preserve">Central Government, </w:t>
      </w:r>
      <w:r>
        <w:rPr>
          <w:rFonts w:ascii="Arial" w:hAnsi="Arial" w:cs="Arial"/>
          <w:sz w:val="22"/>
        </w:rPr>
        <w:t xml:space="preserve">Cambridgeshire County Council, Cambridgeshire Police </w:t>
      </w:r>
      <w:r w:rsidR="00AC66B8">
        <w:rPr>
          <w:rFonts w:ascii="Arial" w:hAnsi="Arial" w:cs="Arial"/>
          <w:sz w:val="22"/>
        </w:rPr>
        <w:t>and Crime Commissioner</w:t>
      </w:r>
      <w:r>
        <w:rPr>
          <w:rFonts w:ascii="Arial" w:hAnsi="Arial" w:cs="Arial"/>
          <w:sz w:val="22"/>
        </w:rPr>
        <w:t xml:space="preserve"> and Cambridgeshire </w:t>
      </w:r>
      <w:r w:rsidR="00AC66B8">
        <w:rPr>
          <w:rFonts w:ascii="Arial" w:hAnsi="Arial" w:cs="Arial"/>
          <w:sz w:val="22"/>
        </w:rPr>
        <w:t xml:space="preserve">and Peterborough </w:t>
      </w:r>
      <w:r>
        <w:rPr>
          <w:rFonts w:ascii="Arial" w:hAnsi="Arial" w:cs="Arial"/>
          <w:sz w:val="22"/>
        </w:rPr>
        <w:t>Fire Authority on the Collection Fund as at 31 March 201</w:t>
      </w:r>
      <w:r w:rsidR="007167DD">
        <w:rPr>
          <w:rFonts w:ascii="Arial" w:hAnsi="Arial" w:cs="Arial"/>
          <w:sz w:val="22"/>
        </w:rPr>
        <w:t>4</w:t>
      </w:r>
      <w:r>
        <w:rPr>
          <w:rFonts w:ascii="Arial" w:hAnsi="Arial" w:cs="Arial"/>
          <w:sz w:val="22"/>
        </w:rPr>
        <w:t xml:space="preserve"> is included as a creditor </w:t>
      </w:r>
      <w:r w:rsidR="0093270A">
        <w:rPr>
          <w:rFonts w:ascii="Arial" w:hAnsi="Arial" w:cs="Arial"/>
          <w:sz w:val="22"/>
        </w:rPr>
        <w:t xml:space="preserve">or debtor </w:t>
      </w:r>
      <w:r>
        <w:rPr>
          <w:rFonts w:ascii="Arial" w:hAnsi="Arial" w:cs="Arial"/>
          <w:sz w:val="22"/>
        </w:rPr>
        <w:t xml:space="preserve">in the Council’s Balance Sheet and will be </w:t>
      </w:r>
      <w:r>
        <w:rPr>
          <w:rFonts w:ascii="Arial" w:hAnsi="Arial" w:cs="Arial"/>
          <w:color w:val="000000"/>
          <w:sz w:val="22"/>
        </w:rPr>
        <w:t>distributed</w:t>
      </w:r>
      <w:r>
        <w:rPr>
          <w:rFonts w:ascii="Arial" w:hAnsi="Arial" w:cs="Arial"/>
          <w:sz w:val="22"/>
        </w:rPr>
        <w:t xml:space="preserve"> in subsequent financial years.</w:t>
      </w: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076EAE" w:rsidRDefault="00076EAE">
      <w:pPr>
        <w:jc w:val="both"/>
        <w:rPr>
          <w:rFonts w:ascii="Arial" w:hAnsi="Arial" w:cs="Arial"/>
          <w:b/>
          <w:bCs/>
          <w:color w:val="000080"/>
          <w:sz w:val="48"/>
        </w:rPr>
      </w:pPr>
    </w:p>
    <w:p w:rsidR="00814A5B" w:rsidRDefault="00814A5B">
      <w:pPr>
        <w:jc w:val="both"/>
        <w:rPr>
          <w:rFonts w:ascii="Arial" w:hAnsi="Arial" w:cs="Arial"/>
          <w:b/>
          <w:bCs/>
          <w:color w:val="000080"/>
          <w:sz w:val="48"/>
        </w:rPr>
      </w:pPr>
    </w:p>
    <w:p w:rsidR="005E6560" w:rsidRDefault="005E6560">
      <w:pPr>
        <w:jc w:val="both"/>
        <w:rPr>
          <w:rFonts w:ascii="Arial" w:hAnsi="Arial" w:cs="Arial"/>
          <w:b/>
          <w:bCs/>
          <w:color w:val="000080"/>
          <w:sz w:val="48"/>
        </w:rPr>
      </w:pPr>
    </w:p>
    <w:p w:rsidR="00076EAE" w:rsidRDefault="00076EAE">
      <w:pPr>
        <w:jc w:val="both"/>
        <w:rPr>
          <w:rFonts w:ascii="Arial" w:hAnsi="Arial" w:cs="Arial"/>
          <w:b/>
          <w:bCs/>
          <w:color w:val="000080"/>
          <w:sz w:val="48"/>
        </w:rPr>
      </w:pPr>
    </w:p>
    <w:p w:rsidR="00F23FFF" w:rsidRDefault="003552BC">
      <w:pPr>
        <w:jc w:val="both"/>
        <w:rPr>
          <w:rFonts w:ascii="Arial" w:hAnsi="Arial" w:cs="Arial"/>
          <w:b/>
          <w:bCs/>
          <w:color w:val="000080"/>
          <w:sz w:val="48"/>
        </w:rPr>
      </w:pPr>
      <w:r>
        <w:rPr>
          <w:rFonts w:ascii="Arial" w:hAnsi="Arial" w:cs="Arial"/>
          <w:b/>
          <w:bCs/>
          <w:color w:val="000080"/>
          <w:sz w:val="48"/>
        </w:rPr>
        <w:t>Notes to Supplementary Statements</w:t>
      </w:r>
    </w:p>
    <w:p w:rsidR="00F23FFF" w:rsidRDefault="00F23FFF">
      <w:pPr>
        <w:jc w:val="both"/>
        <w:rPr>
          <w:rFonts w:ascii="Arial" w:hAnsi="Arial" w:cs="Arial"/>
          <w:b/>
          <w:bCs/>
          <w:color w:val="000080"/>
          <w:sz w:val="48"/>
        </w:rPr>
      </w:pPr>
    </w:p>
    <w:p w:rsidR="00F23FFF" w:rsidRDefault="00F23FFF">
      <w:pPr>
        <w:jc w:val="both"/>
        <w:rPr>
          <w:rFonts w:ascii="Arial" w:hAnsi="Arial" w:cs="Arial"/>
          <w:b/>
          <w:bCs/>
          <w:color w:val="000080"/>
          <w:sz w:val="48"/>
        </w:rPr>
      </w:pPr>
    </w:p>
    <w:p w:rsidR="00F23FFF" w:rsidRDefault="00F23FFF">
      <w:pPr>
        <w:jc w:val="both"/>
        <w:rPr>
          <w:rFonts w:ascii="Arial" w:hAnsi="Arial" w:cs="Arial"/>
          <w:b/>
          <w:bCs/>
          <w:color w:val="000080"/>
          <w:sz w:val="48"/>
        </w:rPr>
      </w:pPr>
    </w:p>
    <w:p w:rsidR="00F23FFF" w:rsidRDefault="003552BC">
      <w:pPr>
        <w:numPr>
          <w:ilvl w:val="0"/>
          <w:numId w:val="9"/>
        </w:numPr>
        <w:rPr>
          <w:rFonts w:ascii="Arial" w:hAnsi="Arial" w:cs="Arial"/>
          <w:b/>
          <w:bCs/>
          <w:color w:val="000080"/>
          <w:sz w:val="48"/>
        </w:rPr>
      </w:pPr>
      <w:r>
        <w:rPr>
          <w:rFonts w:ascii="Arial" w:hAnsi="Arial" w:cs="Arial"/>
          <w:b/>
          <w:bCs/>
          <w:color w:val="000080"/>
          <w:sz w:val="32"/>
        </w:rPr>
        <w:t>Notes to the Housing Revenue Income and Expenditure Account</w:t>
      </w:r>
    </w:p>
    <w:p w:rsidR="00F23FFF" w:rsidRDefault="00F23FFF">
      <w:pPr>
        <w:ind w:left="360"/>
        <w:rPr>
          <w:rFonts w:ascii="Arial" w:hAnsi="Arial" w:cs="Arial"/>
          <w:b/>
          <w:bCs/>
          <w:color w:val="000080"/>
          <w:sz w:val="48"/>
        </w:rPr>
      </w:pPr>
    </w:p>
    <w:p w:rsidR="00F23FFF" w:rsidRDefault="003552BC">
      <w:pPr>
        <w:numPr>
          <w:ilvl w:val="0"/>
          <w:numId w:val="9"/>
        </w:numPr>
        <w:jc w:val="both"/>
        <w:rPr>
          <w:rFonts w:ascii="Arial" w:hAnsi="Arial" w:cs="Arial"/>
          <w:b/>
          <w:bCs/>
          <w:color w:val="000080"/>
          <w:sz w:val="48"/>
        </w:rPr>
      </w:pPr>
      <w:r>
        <w:rPr>
          <w:rFonts w:ascii="Arial" w:hAnsi="Arial" w:cs="Arial"/>
          <w:b/>
          <w:bCs/>
          <w:color w:val="000080"/>
          <w:sz w:val="32"/>
        </w:rPr>
        <w:t>Notes to the Collection Fund</w:t>
      </w: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F23FFF" w:rsidRDefault="00F23FFF">
      <w:pPr>
        <w:jc w:val="both"/>
        <w:rPr>
          <w:rFonts w:ascii="Arial" w:hAnsi="Arial" w:cs="Arial"/>
          <w:sz w:val="22"/>
        </w:rPr>
      </w:pPr>
    </w:p>
    <w:p w:rsidR="00A568DF" w:rsidRDefault="00A568DF">
      <w:pPr>
        <w:jc w:val="both"/>
        <w:rPr>
          <w:rFonts w:ascii="Arial" w:hAnsi="Arial" w:cs="Arial"/>
          <w:sz w:val="22"/>
        </w:rPr>
      </w:pPr>
    </w:p>
    <w:p w:rsidR="00B05AD9" w:rsidRDefault="00B05AD9">
      <w:pPr>
        <w:jc w:val="both"/>
        <w:rPr>
          <w:rFonts w:ascii="Arial" w:hAnsi="Arial" w:cs="Arial"/>
          <w:sz w:val="22"/>
        </w:rPr>
      </w:pPr>
    </w:p>
    <w:p w:rsidR="00B05AD9" w:rsidRDefault="00B05AD9">
      <w:pPr>
        <w:jc w:val="both"/>
        <w:rPr>
          <w:rFonts w:ascii="Arial" w:hAnsi="Arial" w:cs="Arial"/>
          <w:sz w:val="22"/>
        </w:rPr>
      </w:pPr>
    </w:p>
    <w:p w:rsidR="00B05AD9" w:rsidRDefault="00B05AD9">
      <w:pPr>
        <w:jc w:val="both"/>
        <w:rPr>
          <w:rFonts w:ascii="Arial" w:hAnsi="Arial" w:cs="Arial"/>
          <w:sz w:val="22"/>
        </w:rPr>
      </w:pPr>
    </w:p>
    <w:p w:rsidR="00B05AD9" w:rsidRDefault="00B05AD9">
      <w:pPr>
        <w:jc w:val="both"/>
        <w:rPr>
          <w:rFonts w:ascii="Arial" w:hAnsi="Arial" w:cs="Arial"/>
          <w:sz w:val="22"/>
        </w:rPr>
      </w:pPr>
    </w:p>
    <w:p w:rsidR="00F23FFF" w:rsidRDefault="00F23FFF">
      <w:pPr>
        <w:jc w:val="both"/>
        <w:rPr>
          <w:rFonts w:ascii="Arial" w:hAnsi="Arial" w:cs="Arial"/>
          <w:sz w:val="22"/>
        </w:rPr>
      </w:pPr>
    </w:p>
    <w:p w:rsidR="00076EAE" w:rsidRDefault="00076EAE">
      <w:pPr>
        <w:jc w:val="both"/>
        <w:rPr>
          <w:rFonts w:ascii="Arial" w:hAnsi="Arial" w:cs="Arial"/>
          <w:sz w:val="22"/>
        </w:rPr>
      </w:pPr>
    </w:p>
    <w:p w:rsidR="005E331A" w:rsidRDefault="005E331A">
      <w:pPr>
        <w:jc w:val="both"/>
        <w:rPr>
          <w:rFonts w:ascii="Arial" w:hAnsi="Arial" w:cs="Arial"/>
          <w:sz w:val="22"/>
        </w:rPr>
      </w:pPr>
    </w:p>
    <w:p w:rsidR="005E331A" w:rsidRDefault="005E331A">
      <w:pPr>
        <w:jc w:val="both"/>
        <w:rPr>
          <w:rFonts w:ascii="Arial" w:hAnsi="Arial" w:cs="Arial"/>
          <w:sz w:val="22"/>
        </w:rPr>
      </w:pPr>
    </w:p>
    <w:p w:rsidR="00F23FFF" w:rsidRDefault="00F23FFF">
      <w:pPr>
        <w:jc w:val="both"/>
        <w:rPr>
          <w:rFonts w:ascii="Arial" w:hAnsi="Arial" w:cs="Arial"/>
          <w:sz w:val="22"/>
        </w:rPr>
      </w:pPr>
    </w:p>
    <w:p w:rsidR="005E6560" w:rsidRDefault="005E6560">
      <w:pPr>
        <w:jc w:val="both"/>
        <w:rPr>
          <w:rFonts w:ascii="Arial" w:hAnsi="Arial" w:cs="Arial"/>
          <w:sz w:val="22"/>
        </w:rPr>
      </w:pPr>
    </w:p>
    <w:p w:rsidR="00F23FFF" w:rsidRDefault="003552BC">
      <w:pPr>
        <w:pStyle w:val="Heading6"/>
        <w:jc w:val="left"/>
        <w:rPr>
          <w:rFonts w:ascii="Arial" w:hAnsi="Arial" w:cs="Arial"/>
          <w:sz w:val="28"/>
        </w:rPr>
      </w:pPr>
      <w:r>
        <w:rPr>
          <w:rFonts w:ascii="Arial" w:hAnsi="Arial" w:cs="Arial"/>
          <w:sz w:val="28"/>
        </w:rPr>
        <w:lastRenderedPageBreak/>
        <w:t>Notes to the Housing Revenue Account (HRA)</w:t>
      </w:r>
    </w:p>
    <w:p w:rsidR="00F23FFF" w:rsidRDefault="00F23FFF">
      <w:pPr>
        <w:rPr>
          <w:rFonts w:ascii="Arial" w:hAnsi="Arial" w:cs="Arial"/>
          <w:b/>
          <w:sz w:val="22"/>
        </w:rPr>
      </w:pPr>
    </w:p>
    <w:p w:rsidR="00F23FFF" w:rsidRDefault="003552BC">
      <w:pPr>
        <w:tabs>
          <w:tab w:val="left" w:pos="426"/>
        </w:tabs>
        <w:rPr>
          <w:rFonts w:ascii="Arial" w:hAnsi="Arial" w:cs="Arial"/>
          <w:b/>
          <w:color w:val="000080"/>
          <w:sz w:val="24"/>
        </w:rPr>
      </w:pPr>
      <w:r>
        <w:rPr>
          <w:rFonts w:ascii="Arial" w:hAnsi="Arial" w:cs="Arial"/>
          <w:b/>
          <w:color w:val="000080"/>
          <w:sz w:val="24"/>
        </w:rPr>
        <w:t>4</w:t>
      </w:r>
      <w:r w:rsidR="0093270A">
        <w:rPr>
          <w:rFonts w:ascii="Arial" w:hAnsi="Arial" w:cs="Arial"/>
          <w:b/>
          <w:color w:val="000080"/>
          <w:sz w:val="24"/>
        </w:rPr>
        <w:t>0</w:t>
      </w:r>
      <w:r w:rsidR="003D0548">
        <w:rPr>
          <w:rFonts w:ascii="Arial" w:hAnsi="Arial" w:cs="Arial"/>
          <w:b/>
          <w:color w:val="000080"/>
          <w:sz w:val="24"/>
        </w:rPr>
        <w:t xml:space="preserve"> </w:t>
      </w:r>
      <w:r>
        <w:rPr>
          <w:rFonts w:ascii="Arial" w:hAnsi="Arial" w:cs="Arial"/>
          <w:b/>
          <w:color w:val="000080"/>
          <w:sz w:val="24"/>
        </w:rPr>
        <w:t xml:space="preserve">  Housing stock</w:t>
      </w:r>
    </w:p>
    <w:p w:rsidR="00F23FFF" w:rsidRDefault="00F23FFF">
      <w:pPr>
        <w:rPr>
          <w:rFonts w:ascii="Arial" w:hAnsi="Arial" w:cs="Arial"/>
          <w:sz w:val="22"/>
        </w:rPr>
      </w:pPr>
    </w:p>
    <w:p w:rsidR="00F23FFF" w:rsidRDefault="003552BC">
      <w:pPr>
        <w:ind w:left="426"/>
        <w:rPr>
          <w:rFonts w:ascii="Arial" w:hAnsi="Arial" w:cs="Arial"/>
          <w:sz w:val="22"/>
        </w:rPr>
      </w:pPr>
      <w:r>
        <w:rPr>
          <w:rFonts w:ascii="Arial" w:hAnsi="Arial" w:cs="Arial"/>
          <w:sz w:val="22"/>
        </w:rPr>
        <w:t>The Housing Revenue Account includes all the expenditure and income associated with the following stock of Housing Revenue Account dwellings:</w:t>
      </w:r>
    </w:p>
    <w:p w:rsidR="00076EAE" w:rsidRDefault="00076EAE">
      <w:pPr>
        <w:ind w:left="426"/>
        <w:rPr>
          <w:rFonts w:ascii="Arial" w:hAnsi="Arial" w:cs="Arial"/>
          <w:sz w:val="22"/>
        </w:rPr>
      </w:pPr>
    </w:p>
    <w:p w:rsidR="00F23FFF" w:rsidRDefault="0093270A" w:rsidP="0093270A">
      <w:pPr>
        <w:ind w:left="-851"/>
        <w:jc w:val="center"/>
        <w:rPr>
          <w:rFonts w:ascii="Arial" w:hAnsi="Arial" w:cs="Arial"/>
          <w:sz w:val="22"/>
        </w:rPr>
      </w:pPr>
      <w:r w:rsidRPr="0093270A">
        <w:rPr>
          <w:noProof/>
          <w:lang w:eastAsia="en-GB"/>
        </w:rPr>
        <w:drawing>
          <wp:inline distT="0" distB="0" distL="0" distR="0">
            <wp:extent cx="5724525" cy="352994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6454" cy="3537302"/>
                    </a:xfrm>
                    <a:prstGeom prst="rect">
                      <a:avLst/>
                    </a:prstGeom>
                    <a:noFill/>
                    <a:ln>
                      <a:noFill/>
                    </a:ln>
                  </pic:spPr>
                </pic:pic>
              </a:graphicData>
            </a:graphic>
          </wp:inline>
        </w:drawing>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The total balance sheet values of dwellings and other property and land within the HRA are;</w:t>
      </w:r>
    </w:p>
    <w:p w:rsidR="005F143A" w:rsidRDefault="005F143A">
      <w:pPr>
        <w:rPr>
          <w:rFonts w:ascii="Arial" w:hAnsi="Arial" w:cs="Arial"/>
          <w:sz w:val="22"/>
        </w:rPr>
      </w:pPr>
    </w:p>
    <w:p w:rsidR="0093270A" w:rsidRDefault="005E6560" w:rsidP="005E6560">
      <w:pPr>
        <w:ind w:left="-851"/>
        <w:jc w:val="center"/>
        <w:rPr>
          <w:rFonts w:ascii="Arial" w:hAnsi="Arial" w:cs="Arial"/>
          <w:bCs/>
          <w:color w:val="000000"/>
          <w:sz w:val="22"/>
        </w:rPr>
      </w:pPr>
      <w:r w:rsidRPr="005E6560">
        <w:rPr>
          <w:noProof/>
          <w:lang w:eastAsia="en-GB"/>
        </w:rPr>
        <w:drawing>
          <wp:inline distT="0" distB="0" distL="0" distR="0" wp14:anchorId="2BE1FE5F" wp14:editId="17E83BE9">
            <wp:extent cx="6498121"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98121" cy="2762250"/>
                    </a:xfrm>
                    <a:prstGeom prst="rect">
                      <a:avLst/>
                    </a:prstGeom>
                    <a:noFill/>
                    <a:ln>
                      <a:noFill/>
                    </a:ln>
                  </pic:spPr>
                </pic:pic>
              </a:graphicData>
            </a:graphic>
          </wp:inline>
        </w:drawing>
      </w:r>
    </w:p>
    <w:p w:rsidR="00D43CA2" w:rsidRDefault="00D43CA2" w:rsidP="0093270A">
      <w:pPr>
        <w:rPr>
          <w:rFonts w:ascii="Arial" w:hAnsi="Arial" w:cs="Arial"/>
          <w:bCs/>
          <w:color w:val="000000"/>
          <w:sz w:val="22"/>
        </w:rPr>
      </w:pPr>
    </w:p>
    <w:p w:rsidR="0089048C" w:rsidRPr="00417001" w:rsidRDefault="0093270A">
      <w:pPr>
        <w:rPr>
          <w:rFonts w:ascii="Arial" w:hAnsi="Arial" w:cs="Arial"/>
          <w:b/>
          <w:bCs/>
          <w:color w:val="000000"/>
          <w:sz w:val="22"/>
        </w:rPr>
      </w:pPr>
      <w:r>
        <w:rPr>
          <w:rFonts w:ascii="Arial" w:hAnsi="Arial" w:cs="Arial"/>
          <w:bCs/>
          <w:color w:val="000000"/>
          <w:sz w:val="22"/>
        </w:rPr>
        <w:t xml:space="preserve">In 2013-14, depreciation on buildings is based on the asset lives as assessed by the </w:t>
      </w:r>
      <w:r w:rsidRPr="00D43CA2">
        <w:rPr>
          <w:rFonts w:ascii="Arial" w:hAnsi="Arial" w:cs="Arial"/>
          <w:bCs/>
          <w:color w:val="000000"/>
          <w:sz w:val="22"/>
        </w:rPr>
        <w:t>District Valuer. Land is not depreciated.</w:t>
      </w:r>
    </w:p>
    <w:p w:rsidR="00F23FFF" w:rsidRDefault="003552BC">
      <w:pPr>
        <w:rPr>
          <w:rFonts w:ascii="Arial" w:hAnsi="Arial" w:cs="Arial"/>
          <w:color w:val="FF0000"/>
          <w:sz w:val="22"/>
        </w:rPr>
      </w:pPr>
      <w:r>
        <w:rPr>
          <w:rFonts w:ascii="Arial" w:hAnsi="Arial" w:cs="Arial"/>
          <w:sz w:val="22"/>
        </w:rPr>
        <w:lastRenderedPageBreak/>
        <w:t>The dwellings are valued in accordance with Guidance on Stock Valuation for Resource Accounting issued by the Office of the Deputy Prime Minister. This requires the dwellings to be valued at open market value with vacant possession, which is then adjusted to reflect tenancies at less than open market rents by using an adjustment factor based on the ratio of local authority rents to open market rents for the relevant region. The adjustment facto</w:t>
      </w:r>
      <w:r w:rsidR="00D22557">
        <w:rPr>
          <w:rFonts w:ascii="Arial" w:hAnsi="Arial" w:cs="Arial"/>
          <w:sz w:val="22"/>
        </w:rPr>
        <w:t>r for the eastern region is 39%.</w:t>
      </w:r>
    </w:p>
    <w:p w:rsidR="00F23FFF" w:rsidRDefault="00F23FFF">
      <w:pPr>
        <w:rPr>
          <w:rFonts w:ascii="Arial" w:hAnsi="Arial" w:cs="Arial"/>
          <w:sz w:val="22"/>
        </w:rPr>
      </w:pPr>
    </w:p>
    <w:p w:rsidR="00F23FFF" w:rsidRDefault="003552BC">
      <w:pPr>
        <w:rPr>
          <w:rFonts w:ascii="Arial" w:hAnsi="Arial" w:cs="Arial"/>
          <w:sz w:val="22"/>
        </w:rPr>
      </w:pPr>
      <w:r w:rsidRPr="00E14F46">
        <w:rPr>
          <w:rFonts w:ascii="Arial" w:hAnsi="Arial" w:cs="Arial"/>
          <w:sz w:val="22"/>
        </w:rPr>
        <w:t>The value of council dwellings (Housing Revenue Account</w:t>
      </w:r>
      <w:r w:rsidR="00030DAF">
        <w:rPr>
          <w:rFonts w:ascii="Arial" w:hAnsi="Arial" w:cs="Arial"/>
          <w:sz w:val="22"/>
        </w:rPr>
        <w:t>) at 31 March 201</w:t>
      </w:r>
      <w:r w:rsidR="00D43CA2">
        <w:rPr>
          <w:rFonts w:ascii="Arial" w:hAnsi="Arial" w:cs="Arial"/>
          <w:sz w:val="22"/>
        </w:rPr>
        <w:t>4</w:t>
      </w:r>
      <w:r w:rsidRPr="00E14F46">
        <w:rPr>
          <w:rFonts w:ascii="Arial" w:hAnsi="Arial" w:cs="Arial"/>
          <w:sz w:val="22"/>
        </w:rPr>
        <w:t xml:space="preserve">, based on vacant possession, was </w:t>
      </w:r>
      <w:r w:rsidRPr="00A41C79">
        <w:rPr>
          <w:rFonts w:ascii="Arial" w:hAnsi="Arial" w:cs="Arial"/>
          <w:sz w:val="22"/>
        </w:rPr>
        <w:t>£</w:t>
      </w:r>
      <w:r w:rsidR="00D43CA2">
        <w:rPr>
          <w:rFonts w:ascii="Arial" w:hAnsi="Arial" w:cs="Arial"/>
          <w:sz w:val="22"/>
        </w:rPr>
        <w:t>957,333,850</w:t>
      </w:r>
      <w:r>
        <w:rPr>
          <w:rFonts w:ascii="Arial" w:hAnsi="Arial" w:cs="Arial"/>
          <w:sz w:val="22"/>
        </w:rPr>
        <w:t>.</w:t>
      </w:r>
    </w:p>
    <w:p w:rsidR="00030DAF" w:rsidRDefault="00030DAF">
      <w:pPr>
        <w:rPr>
          <w:rFonts w:ascii="Arial" w:hAnsi="Arial" w:cs="Arial"/>
          <w:sz w:val="22"/>
        </w:rPr>
      </w:pPr>
    </w:p>
    <w:p w:rsidR="00F23FFF" w:rsidRDefault="00672827">
      <w:pPr>
        <w:tabs>
          <w:tab w:val="left" w:pos="426"/>
        </w:tabs>
        <w:rPr>
          <w:rFonts w:ascii="Arial" w:hAnsi="Arial" w:cs="Arial"/>
          <w:b/>
          <w:color w:val="000080"/>
          <w:sz w:val="24"/>
        </w:rPr>
      </w:pPr>
      <w:r>
        <w:rPr>
          <w:rFonts w:ascii="Arial" w:hAnsi="Arial" w:cs="Arial"/>
          <w:b/>
          <w:color w:val="000080"/>
          <w:sz w:val="24"/>
        </w:rPr>
        <w:t>4</w:t>
      </w:r>
      <w:r w:rsidR="0093270A">
        <w:rPr>
          <w:rFonts w:ascii="Arial" w:hAnsi="Arial" w:cs="Arial"/>
          <w:b/>
          <w:color w:val="000080"/>
          <w:sz w:val="24"/>
        </w:rPr>
        <w:t>1</w:t>
      </w:r>
      <w:r w:rsidR="003552BC">
        <w:rPr>
          <w:rFonts w:ascii="Arial" w:hAnsi="Arial" w:cs="Arial"/>
          <w:b/>
          <w:color w:val="000080"/>
          <w:sz w:val="24"/>
        </w:rPr>
        <w:t xml:space="preserve"> </w:t>
      </w:r>
      <w:r w:rsidR="003D0548">
        <w:rPr>
          <w:rFonts w:ascii="Arial" w:hAnsi="Arial" w:cs="Arial"/>
          <w:b/>
          <w:color w:val="000080"/>
          <w:sz w:val="24"/>
        </w:rPr>
        <w:t xml:space="preserve"> </w:t>
      </w:r>
      <w:r w:rsidR="003552BC">
        <w:rPr>
          <w:rFonts w:ascii="Arial" w:hAnsi="Arial" w:cs="Arial"/>
          <w:b/>
          <w:color w:val="000080"/>
          <w:sz w:val="24"/>
        </w:rPr>
        <w:t xml:space="preserve"> Capital expenditure, financing and receipts</w:t>
      </w:r>
    </w:p>
    <w:p w:rsidR="00030DAF" w:rsidRDefault="00030DAF">
      <w:pPr>
        <w:rPr>
          <w:rFonts w:ascii="Arial" w:hAnsi="Arial" w:cs="Arial"/>
          <w:b/>
          <w:color w:val="000080"/>
          <w:sz w:val="22"/>
        </w:rPr>
      </w:pPr>
    </w:p>
    <w:p w:rsidR="00F23FFF" w:rsidRDefault="003552BC" w:rsidP="003D3DD1">
      <w:pPr>
        <w:ind w:left="360"/>
        <w:rPr>
          <w:rFonts w:ascii="Arial" w:hAnsi="Arial" w:cs="Arial"/>
          <w:bCs/>
          <w:color w:val="000000"/>
          <w:sz w:val="22"/>
        </w:rPr>
      </w:pPr>
      <w:r>
        <w:rPr>
          <w:rFonts w:ascii="Arial" w:hAnsi="Arial" w:cs="Arial"/>
          <w:bCs/>
          <w:color w:val="000000"/>
          <w:sz w:val="22"/>
        </w:rPr>
        <w:t>Capital expenditure and financing relating to the HRA during the financial year was:</w:t>
      </w:r>
    </w:p>
    <w:p w:rsidR="00030DAF" w:rsidRDefault="00030DAF" w:rsidP="003D3DD1">
      <w:pPr>
        <w:ind w:left="360"/>
        <w:rPr>
          <w:rFonts w:ascii="Arial" w:hAnsi="Arial" w:cs="Arial"/>
          <w:bCs/>
          <w:color w:val="000000"/>
          <w:sz w:val="22"/>
        </w:rPr>
      </w:pPr>
    </w:p>
    <w:p w:rsidR="00BE4D3B" w:rsidRDefault="00B9285C" w:rsidP="00D43CA2">
      <w:pPr>
        <w:ind w:left="-851"/>
        <w:jc w:val="center"/>
        <w:rPr>
          <w:rFonts w:ascii="Arial" w:hAnsi="Arial" w:cs="Arial"/>
          <w:bCs/>
          <w:color w:val="000000"/>
          <w:sz w:val="22"/>
        </w:rPr>
      </w:pPr>
      <w:r w:rsidRPr="00B9285C">
        <w:rPr>
          <w:noProof/>
          <w:lang w:eastAsia="en-GB"/>
        </w:rPr>
        <w:drawing>
          <wp:inline distT="0" distB="0" distL="0" distR="0" wp14:anchorId="75E10ED7" wp14:editId="560353B4">
            <wp:extent cx="5949994" cy="3560242"/>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6314" cy="3564024"/>
                    </a:xfrm>
                    <a:prstGeom prst="rect">
                      <a:avLst/>
                    </a:prstGeom>
                    <a:noFill/>
                    <a:ln>
                      <a:noFill/>
                    </a:ln>
                  </pic:spPr>
                </pic:pic>
              </a:graphicData>
            </a:graphic>
          </wp:inline>
        </w:drawing>
      </w:r>
    </w:p>
    <w:p w:rsidR="003D3DD1" w:rsidRDefault="003D3DD1" w:rsidP="00030DAF">
      <w:pPr>
        <w:ind w:left="360" w:hanging="1069"/>
        <w:jc w:val="center"/>
        <w:rPr>
          <w:rFonts w:ascii="Arial" w:hAnsi="Arial" w:cs="Arial"/>
          <w:bCs/>
          <w:color w:val="000000"/>
          <w:sz w:val="22"/>
        </w:rPr>
      </w:pPr>
    </w:p>
    <w:p w:rsidR="00F23FFF" w:rsidRDefault="00146B72" w:rsidP="00B9285C">
      <w:pPr>
        <w:rPr>
          <w:rFonts w:ascii="Arial" w:hAnsi="Arial" w:cs="Arial"/>
          <w:bCs/>
          <w:color w:val="000000"/>
          <w:sz w:val="22"/>
        </w:rPr>
      </w:pPr>
      <w:r>
        <w:rPr>
          <w:rFonts w:ascii="Arial" w:hAnsi="Arial" w:cs="Arial"/>
          <w:bCs/>
          <w:color w:val="000000"/>
          <w:sz w:val="22"/>
        </w:rPr>
        <w:t>*In addition, £</w:t>
      </w:r>
      <w:r w:rsidR="00D43CA2">
        <w:rPr>
          <w:rFonts w:ascii="Arial" w:hAnsi="Arial" w:cs="Arial"/>
          <w:bCs/>
          <w:color w:val="000000"/>
          <w:sz w:val="22"/>
        </w:rPr>
        <w:t>94,801</w:t>
      </w:r>
      <w:r>
        <w:rPr>
          <w:rFonts w:ascii="Arial" w:hAnsi="Arial" w:cs="Arial"/>
          <w:bCs/>
          <w:color w:val="000000"/>
          <w:sz w:val="22"/>
        </w:rPr>
        <w:t xml:space="preserve"> was spent relating to the HRA contribution to capital expenditure on </w:t>
      </w:r>
      <w:r w:rsidR="00B9285C">
        <w:rPr>
          <w:rFonts w:ascii="Arial" w:hAnsi="Arial" w:cs="Arial"/>
          <w:bCs/>
          <w:color w:val="000000"/>
          <w:sz w:val="22"/>
        </w:rPr>
        <w:t>IT and software, and £14,104 charged to the General Fund relating to other improvements.</w:t>
      </w:r>
    </w:p>
    <w:p w:rsidR="00030DAF" w:rsidRDefault="00030DAF">
      <w:pPr>
        <w:jc w:val="both"/>
        <w:rPr>
          <w:rFonts w:ascii="Arial" w:hAnsi="Arial" w:cs="Arial"/>
          <w:bCs/>
          <w:color w:val="000000"/>
          <w:sz w:val="22"/>
        </w:rPr>
      </w:pPr>
    </w:p>
    <w:p w:rsidR="00671240" w:rsidRDefault="003552BC" w:rsidP="005E331A">
      <w:pPr>
        <w:ind w:left="360"/>
        <w:rPr>
          <w:rFonts w:ascii="Arial" w:hAnsi="Arial" w:cs="Arial"/>
          <w:bCs/>
          <w:color w:val="000000"/>
          <w:sz w:val="22"/>
        </w:rPr>
      </w:pPr>
      <w:r>
        <w:rPr>
          <w:rFonts w:ascii="Arial" w:hAnsi="Arial" w:cs="Arial"/>
          <w:bCs/>
          <w:color w:val="000000"/>
          <w:sz w:val="22"/>
        </w:rPr>
        <w:t>Capital receipts relating to the HRA during the financial year were:</w:t>
      </w:r>
    </w:p>
    <w:p w:rsidR="00132F80" w:rsidRDefault="00132F80" w:rsidP="005E331A">
      <w:pPr>
        <w:ind w:left="360"/>
        <w:rPr>
          <w:rFonts w:ascii="Arial" w:hAnsi="Arial" w:cs="Arial"/>
          <w:bCs/>
          <w:color w:val="000000"/>
          <w:sz w:val="22"/>
        </w:rPr>
      </w:pPr>
    </w:p>
    <w:p w:rsidR="00671240" w:rsidRDefault="00FF325A" w:rsidP="00B9285C">
      <w:pPr>
        <w:jc w:val="center"/>
        <w:rPr>
          <w:rFonts w:ascii="Arial" w:hAnsi="Arial" w:cs="Arial"/>
          <w:b/>
          <w:color w:val="000080"/>
          <w:sz w:val="22"/>
        </w:rPr>
      </w:pPr>
      <w:r w:rsidRPr="00FF325A">
        <w:rPr>
          <w:noProof/>
          <w:lang w:eastAsia="en-GB"/>
        </w:rPr>
        <w:drawing>
          <wp:inline distT="0" distB="0" distL="0" distR="0">
            <wp:extent cx="3943350" cy="1912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0742" cy="1920639"/>
                    </a:xfrm>
                    <a:prstGeom prst="rect">
                      <a:avLst/>
                    </a:prstGeom>
                    <a:noFill/>
                    <a:ln>
                      <a:noFill/>
                    </a:ln>
                  </pic:spPr>
                </pic:pic>
              </a:graphicData>
            </a:graphic>
          </wp:inline>
        </w:drawing>
      </w:r>
    </w:p>
    <w:p w:rsidR="00FF325A" w:rsidRDefault="00FF325A" w:rsidP="00B9285C">
      <w:pPr>
        <w:jc w:val="center"/>
        <w:rPr>
          <w:rFonts w:ascii="Arial" w:hAnsi="Arial" w:cs="Arial"/>
          <w:b/>
          <w:color w:val="000080"/>
          <w:sz w:val="22"/>
        </w:rPr>
      </w:pPr>
    </w:p>
    <w:p w:rsidR="00FF325A" w:rsidRDefault="00FF325A" w:rsidP="00132F80">
      <w:pPr>
        <w:rPr>
          <w:rFonts w:ascii="Arial" w:hAnsi="Arial" w:cs="Arial"/>
          <w:b/>
          <w:color w:val="000080"/>
          <w:sz w:val="22"/>
        </w:rPr>
      </w:pPr>
    </w:p>
    <w:p w:rsidR="00F23FFF" w:rsidRDefault="00672827">
      <w:pPr>
        <w:pStyle w:val="xl50"/>
        <w:tabs>
          <w:tab w:val="left" w:pos="0"/>
          <w:tab w:val="left" w:pos="426"/>
        </w:tabs>
        <w:spacing w:before="0" w:beforeAutospacing="0" w:after="0" w:afterAutospacing="0"/>
        <w:rPr>
          <w:rFonts w:eastAsia="Times New Roman"/>
          <w:bCs w:val="0"/>
          <w:szCs w:val="20"/>
        </w:rPr>
      </w:pPr>
      <w:r>
        <w:rPr>
          <w:rFonts w:eastAsia="Times New Roman"/>
          <w:bCs w:val="0"/>
          <w:szCs w:val="20"/>
        </w:rPr>
        <w:t>4</w:t>
      </w:r>
      <w:r w:rsidR="00D43CA2">
        <w:rPr>
          <w:rFonts w:eastAsia="Times New Roman"/>
          <w:bCs w:val="0"/>
          <w:szCs w:val="20"/>
        </w:rPr>
        <w:t>2</w:t>
      </w:r>
      <w:r w:rsidR="003552BC">
        <w:rPr>
          <w:rFonts w:eastAsia="Times New Roman"/>
          <w:bCs w:val="0"/>
          <w:szCs w:val="20"/>
        </w:rPr>
        <w:t xml:space="preserve"> </w:t>
      </w:r>
      <w:r w:rsidR="003D0548">
        <w:rPr>
          <w:rFonts w:eastAsia="Times New Roman"/>
          <w:bCs w:val="0"/>
          <w:szCs w:val="20"/>
        </w:rPr>
        <w:t xml:space="preserve"> </w:t>
      </w:r>
      <w:r w:rsidR="003552BC">
        <w:rPr>
          <w:rFonts w:eastAsia="Times New Roman"/>
          <w:bCs w:val="0"/>
          <w:szCs w:val="20"/>
        </w:rPr>
        <w:t xml:space="preserve"> Impairment</w:t>
      </w:r>
    </w:p>
    <w:p w:rsidR="00F23FFF" w:rsidRDefault="00F23FFF">
      <w:pPr>
        <w:rPr>
          <w:rFonts w:ascii="Arial" w:hAnsi="Arial" w:cs="Arial"/>
          <w:sz w:val="22"/>
        </w:rPr>
      </w:pPr>
    </w:p>
    <w:p w:rsidR="001211FA" w:rsidRPr="00D43CA2" w:rsidRDefault="003552BC" w:rsidP="00D43CA2">
      <w:pPr>
        <w:ind w:left="426"/>
        <w:rPr>
          <w:rFonts w:ascii="Arial" w:hAnsi="Arial" w:cs="Arial"/>
          <w:color w:val="000000"/>
          <w:sz w:val="22"/>
        </w:rPr>
      </w:pPr>
      <w:r>
        <w:rPr>
          <w:rFonts w:ascii="Arial" w:hAnsi="Arial" w:cs="Arial"/>
          <w:sz w:val="22"/>
        </w:rPr>
        <w:t>Impairment is a reduction in the value of no</w:t>
      </w:r>
      <w:r w:rsidR="00B11467">
        <w:rPr>
          <w:rFonts w:ascii="Arial" w:hAnsi="Arial" w:cs="Arial"/>
          <w:sz w:val="22"/>
        </w:rPr>
        <w:t>n</w:t>
      </w:r>
      <w:r>
        <w:rPr>
          <w:rFonts w:ascii="Arial" w:hAnsi="Arial" w:cs="Arial"/>
          <w:sz w:val="22"/>
        </w:rPr>
        <w:t xml:space="preserve">-current assets. When this occurs through the clear consumption of economic benefit or through market value reduction, it has been identified and </w:t>
      </w:r>
      <w:r>
        <w:rPr>
          <w:rFonts w:ascii="Arial" w:hAnsi="Arial" w:cs="Arial"/>
          <w:color w:val="000000"/>
          <w:sz w:val="22"/>
        </w:rPr>
        <w:t>is written off against any revaluation gains in the Revaluation Reserve for that (group of) asset(s) until the gain is reduced to zero and then any balance is charged to Housing Revenue Income a</w:t>
      </w:r>
      <w:r w:rsidR="00B11467">
        <w:rPr>
          <w:rFonts w:ascii="Arial" w:hAnsi="Arial" w:cs="Arial"/>
          <w:color w:val="000000"/>
          <w:sz w:val="22"/>
        </w:rPr>
        <w:t xml:space="preserve">nd Expenditure Account. </w:t>
      </w:r>
    </w:p>
    <w:p w:rsidR="001211FA" w:rsidRDefault="001211FA">
      <w:pPr>
        <w:rPr>
          <w:rFonts w:ascii="Arial" w:hAnsi="Arial" w:cs="Arial"/>
          <w:sz w:val="22"/>
        </w:rPr>
      </w:pPr>
    </w:p>
    <w:tbl>
      <w:tblPr>
        <w:tblW w:w="8860" w:type="dxa"/>
        <w:jc w:val="center"/>
        <w:tblInd w:w="93" w:type="dxa"/>
        <w:tblLook w:val="04A0" w:firstRow="1" w:lastRow="0" w:firstColumn="1" w:lastColumn="0" w:noHBand="0" w:noVBand="1"/>
      </w:tblPr>
      <w:tblGrid>
        <w:gridCol w:w="280"/>
        <w:gridCol w:w="1351"/>
        <w:gridCol w:w="300"/>
        <w:gridCol w:w="4540"/>
        <w:gridCol w:w="1239"/>
        <w:gridCol w:w="1180"/>
        <w:gridCol w:w="300"/>
      </w:tblGrid>
      <w:tr w:rsidR="00DA27D2" w:rsidRPr="00DA27D2" w:rsidTr="00DA27D2">
        <w:trPr>
          <w:trHeight w:val="255"/>
          <w:jc w:val="center"/>
        </w:trPr>
        <w:tc>
          <w:tcPr>
            <w:tcW w:w="280" w:type="dxa"/>
            <w:tcBorders>
              <w:top w:val="single" w:sz="4" w:space="0" w:color="auto"/>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30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454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08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single" w:sz="4" w:space="0" w:color="auto"/>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 </w:t>
            </w:r>
          </w:p>
        </w:tc>
        <w:tc>
          <w:tcPr>
            <w:tcW w:w="300" w:type="dxa"/>
            <w:tcBorders>
              <w:top w:val="single" w:sz="4" w:space="0" w:color="auto"/>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2012-13</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jc w:val="center"/>
              <w:rPr>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2013-14</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2013-14</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Operational assets</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xml:space="preserve">Impairment charged to Housing Revenue Income </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(11,505,731)</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xml:space="preserve">      and Expenditure Account (net)</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(7,873,658)</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single" w:sz="4" w:space="0" w:color="auto"/>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733,802  </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Impairment charged to Revaluation Reserve</w:t>
            </w:r>
          </w:p>
        </w:tc>
        <w:tc>
          <w:tcPr>
            <w:tcW w:w="1080" w:type="dxa"/>
            <w:tcBorders>
              <w:top w:val="nil"/>
              <w:left w:val="nil"/>
              <w:bottom w:val="single" w:sz="4" w:space="0" w:color="auto"/>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7,003,647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(870,011)</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Pr>
                <w:rFonts w:ascii="Arial" w:hAnsi="Arial" w:cs="Arial"/>
                <w:b/>
                <w:bCs/>
                <w:lang w:eastAsia="en-GB"/>
              </w:rPr>
              <w:t>Non-</w:t>
            </w:r>
            <w:r w:rsidRPr="00DA27D2">
              <w:rPr>
                <w:rFonts w:ascii="Arial" w:hAnsi="Arial" w:cs="Arial"/>
                <w:b/>
                <w:bCs/>
                <w:lang w:eastAsia="en-GB"/>
              </w:rPr>
              <w:t>operational assets</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0  </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xml:space="preserve">Impairment charged to Housing Revenue Income </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xml:space="preserve">      and Expenditure Account (net)</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(325)</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0  </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Impairment charged to Revaluation Reserve</w:t>
            </w:r>
          </w:p>
        </w:tc>
        <w:tc>
          <w:tcPr>
            <w:tcW w:w="1080" w:type="dxa"/>
            <w:tcBorders>
              <w:top w:val="nil"/>
              <w:left w:val="nil"/>
              <w:bottom w:val="single" w:sz="4" w:space="0" w:color="auto"/>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0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70"/>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(325)</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70"/>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jc w:val="right"/>
              <w:rPr>
                <w:rFonts w:ascii="Arial" w:hAnsi="Arial" w:cs="Arial"/>
                <w:b/>
                <w:bCs/>
                <w:lang w:eastAsia="en-GB"/>
              </w:rPr>
            </w:pPr>
            <w:r w:rsidRPr="00DA27D2">
              <w:rPr>
                <w:rFonts w:ascii="Arial" w:hAnsi="Arial" w:cs="Arial"/>
                <w:b/>
                <w:bCs/>
                <w:lang w:eastAsia="en-GB"/>
              </w:rPr>
              <w:t>(10,771,929)</w:t>
            </w:r>
          </w:p>
        </w:tc>
        <w:tc>
          <w:tcPr>
            <w:tcW w:w="30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454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0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1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jc w:val="right"/>
              <w:rPr>
                <w:rFonts w:ascii="Arial" w:hAnsi="Arial" w:cs="Arial"/>
                <w:b/>
                <w:bCs/>
                <w:lang w:eastAsia="en-GB"/>
              </w:rPr>
            </w:pPr>
            <w:r w:rsidRPr="00DA27D2">
              <w:rPr>
                <w:rFonts w:ascii="Arial" w:hAnsi="Arial" w:cs="Arial"/>
                <w:b/>
                <w:bCs/>
                <w:lang w:eastAsia="en-GB"/>
              </w:rPr>
              <w:t>(870,336)</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30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454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08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18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bl>
    <w:p w:rsidR="001211FA" w:rsidRDefault="001211FA" w:rsidP="00DA27D2">
      <w:pPr>
        <w:jc w:val="center"/>
        <w:rPr>
          <w:rFonts w:ascii="Arial" w:hAnsi="Arial" w:cs="Arial"/>
          <w:sz w:val="22"/>
        </w:rPr>
      </w:pPr>
    </w:p>
    <w:p w:rsidR="001211FA" w:rsidRDefault="001211FA">
      <w:pPr>
        <w:rPr>
          <w:rFonts w:ascii="Arial" w:hAnsi="Arial" w:cs="Arial"/>
          <w:sz w:val="22"/>
        </w:rPr>
      </w:pPr>
    </w:p>
    <w:tbl>
      <w:tblPr>
        <w:tblW w:w="8860" w:type="dxa"/>
        <w:jc w:val="center"/>
        <w:tblInd w:w="93" w:type="dxa"/>
        <w:tblLook w:val="04A0" w:firstRow="1" w:lastRow="0" w:firstColumn="1" w:lastColumn="0" w:noHBand="0" w:noVBand="1"/>
      </w:tblPr>
      <w:tblGrid>
        <w:gridCol w:w="280"/>
        <w:gridCol w:w="1351"/>
        <w:gridCol w:w="300"/>
        <w:gridCol w:w="4540"/>
        <w:gridCol w:w="1080"/>
        <w:gridCol w:w="1351"/>
        <w:gridCol w:w="300"/>
      </w:tblGrid>
      <w:tr w:rsidR="00DA27D2" w:rsidRPr="00DA27D2" w:rsidTr="00DA27D2">
        <w:trPr>
          <w:trHeight w:val="255"/>
          <w:jc w:val="center"/>
        </w:trPr>
        <w:tc>
          <w:tcPr>
            <w:tcW w:w="280" w:type="dxa"/>
            <w:tcBorders>
              <w:top w:val="single" w:sz="4" w:space="0" w:color="auto"/>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30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454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08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180" w:type="dxa"/>
            <w:tcBorders>
              <w:top w:val="single" w:sz="4" w:space="0" w:color="auto"/>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300" w:type="dxa"/>
            <w:tcBorders>
              <w:top w:val="single" w:sz="4" w:space="0" w:color="auto"/>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2012-13</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jc w:val="center"/>
              <w:rPr>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2012-13</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center"/>
              <w:rPr>
                <w:rFonts w:ascii="Arial" w:hAnsi="Arial" w:cs="Arial"/>
                <w:b/>
                <w:bCs/>
                <w:lang w:eastAsia="en-GB"/>
              </w:rPr>
            </w:pPr>
            <w:r w:rsidRPr="00DA27D2">
              <w:rPr>
                <w:rFonts w:ascii="Arial" w:hAnsi="Arial" w:cs="Arial"/>
                <w:b/>
                <w:bCs/>
                <w:lang w:eastAsia="en-GB"/>
              </w:rPr>
              <w:t>£</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xml:space="preserve">Impairment charged to Housing Revenue Income </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(11,505,731)</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xml:space="preserve">      and Expenditure Account (net)</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(7,873,983)</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70"/>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733,802  </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Impairment charged to Revaluation Reserve</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7,003,647  </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70"/>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jc w:val="right"/>
              <w:rPr>
                <w:rFonts w:ascii="Arial" w:hAnsi="Arial" w:cs="Arial"/>
                <w:b/>
                <w:bCs/>
                <w:lang w:eastAsia="en-GB"/>
              </w:rPr>
            </w:pPr>
            <w:r w:rsidRPr="00DA27D2">
              <w:rPr>
                <w:rFonts w:ascii="Arial" w:hAnsi="Arial" w:cs="Arial"/>
                <w:b/>
                <w:bCs/>
                <w:lang w:eastAsia="en-GB"/>
              </w:rPr>
              <w:t>(10,771,929)</w:t>
            </w:r>
          </w:p>
        </w:tc>
        <w:tc>
          <w:tcPr>
            <w:tcW w:w="30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454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0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rPr>
                <w:rFonts w:ascii="Arial" w:hAnsi="Arial" w:cs="Arial"/>
                <w:b/>
                <w:bCs/>
                <w:lang w:eastAsia="en-GB"/>
              </w:rPr>
            </w:pPr>
            <w:r w:rsidRPr="00DA27D2">
              <w:rPr>
                <w:rFonts w:ascii="Arial" w:hAnsi="Arial" w:cs="Arial"/>
                <w:b/>
                <w:bCs/>
                <w:lang w:eastAsia="en-GB"/>
              </w:rPr>
              <w:t> </w:t>
            </w:r>
          </w:p>
        </w:tc>
        <w:tc>
          <w:tcPr>
            <w:tcW w:w="11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jc w:val="right"/>
              <w:rPr>
                <w:rFonts w:ascii="Arial" w:hAnsi="Arial" w:cs="Arial"/>
                <w:b/>
                <w:bCs/>
                <w:lang w:eastAsia="en-GB"/>
              </w:rPr>
            </w:pPr>
            <w:r w:rsidRPr="00DA27D2">
              <w:rPr>
                <w:rFonts w:ascii="Arial" w:hAnsi="Arial" w:cs="Arial"/>
                <w:b/>
                <w:bCs/>
                <w:lang w:eastAsia="en-GB"/>
              </w:rPr>
              <w:t>(870,336)</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r>
              <w:rPr>
                <w:rFonts w:ascii="Arial" w:hAnsi="Arial" w:cs="Arial"/>
                <w:b/>
                <w:bCs/>
                <w:lang w:eastAsia="en-GB"/>
              </w:rPr>
              <w:t>Operational and Non-</w:t>
            </w:r>
            <w:r w:rsidRPr="00DA27D2">
              <w:rPr>
                <w:rFonts w:ascii="Arial" w:hAnsi="Arial" w:cs="Arial"/>
                <w:b/>
                <w:bCs/>
                <w:lang w:eastAsia="en-GB"/>
              </w:rPr>
              <w:t>operational assets</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633,825 </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Impairment</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 xml:space="preserve">9,422,562 </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70"/>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(11,405,754)</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Impairment reversal</w:t>
            </w: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lang w:eastAsia="en-GB"/>
              </w:rPr>
            </w:pPr>
          </w:p>
        </w:tc>
        <w:tc>
          <w:tcPr>
            <w:tcW w:w="1180" w:type="dxa"/>
            <w:tcBorders>
              <w:top w:val="nil"/>
              <w:left w:val="nil"/>
              <w:bottom w:val="nil"/>
              <w:right w:val="nil"/>
            </w:tcBorders>
            <w:shd w:val="clear" w:color="auto" w:fill="auto"/>
            <w:noWrap/>
            <w:vAlign w:val="bottom"/>
            <w:hideMark/>
          </w:tcPr>
          <w:p w:rsidR="00DA27D2" w:rsidRPr="00DA27D2" w:rsidRDefault="00DA27D2" w:rsidP="00DA27D2">
            <w:pPr>
              <w:jc w:val="right"/>
              <w:rPr>
                <w:rFonts w:ascii="Arial" w:hAnsi="Arial" w:cs="Arial"/>
                <w:lang w:eastAsia="en-GB"/>
              </w:rPr>
            </w:pPr>
            <w:r w:rsidRPr="00DA27D2">
              <w:rPr>
                <w:rFonts w:ascii="Arial" w:hAnsi="Arial" w:cs="Arial"/>
                <w:lang w:eastAsia="en-GB"/>
              </w:rPr>
              <w:t>(10,292,898)</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70"/>
          <w:jc w:val="center"/>
        </w:trPr>
        <w:tc>
          <w:tcPr>
            <w:tcW w:w="280" w:type="dxa"/>
            <w:tcBorders>
              <w:top w:val="nil"/>
              <w:left w:val="single" w:sz="4" w:space="0" w:color="auto"/>
              <w:bottom w:val="nil"/>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jc w:val="right"/>
              <w:rPr>
                <w:rFonts w:ascii="Arial" w:hAnsi="Arial" w:cs="Arial"/>
                <w:b/>
                <w:bCs/>
                <w:lang w:eastAsia="en-GB"/>
              </w:rPr>
            </w:pPr>
            <w:r w:rsidRPr="00DA27D2">
              <w:rPr>
                <w:rFonts w:ascii="Arial" w:hAnsi="Arial" w:cs="Arial"/>
                <w:b/>
                <w:bCs/>
                <w:lang w:eastAsia="en-GB"/>
              </w:rPr>
              <w:t>(10,771,929)</w:t>
            </w:r>
          </w:p>
        </w:tc>
        <w:tc>
          <w:tcPr>
            <w:tcW w:w="30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p>
        </w:tc>
        <w:tc>
          <w:tcPr>
            <w:tcW w:w="454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p>
        </w:tc>
        <w:tc>
          <w:tcPr>
            <w:tcW w:w="1080" w:type="dxa"/>
            <w:tcBorders>
              <w:top w:val="nil"/>
              <w:left w:val="nil"/>
              <w:bottom w:val="nil"/>
              <w:right w:val="nil"/>
            </w:tcBorders>
            <w:shd w:val="clear" w:color="auto" w:fill="auto"/>
            <w:noWrap/>
            <w:vAlign w:val="bottom"/>
            <w:hideMark/>
          </w:tcPr>
          <w:p w:rsidR="00DA27D2" w:rsidRPr="00DA27D2" w:rsidRDefault="00DA27D2" w:rsidP="00DA27D2">
            <w:pPr>
              <w:rPr>
                <w:rFonts w:ascii="Arial" w:hAnsi="Arial" w:cs="Arial"/>
                <w:b/>
                <w:bCs/>
                <w:lang w:eastAsia="en-GB"/>
              </w:rPr>
            </w:pPr>
          </w:p>
        </w:tc>
        <w:tc>
          <w:tcPr>
            <w:tcW w:w="1180" w:type="dxa"/>
            <w:tcBorders>
              <w:top w:val="single" w:sz="8" w:space="0" w:color="auto"/>
              <w:left w:val="nil"/>
              <w:bottom w:val="single" w:sz="8" w:space="0" w:color="auto"/>
              <w:right w:val="nil"/>
            </w:tcBorders>
            <w:shd w:val="clear" w:color="auto" w:fill="auto"/>
            <w:noWrap/>
            <w:vAlign w:val="bottom"/>
            <w:hideMark/>
          </w:tcPr>
          <w:p w:rsidR="00DA27D2" w:rsidRPr="00DA27D2" w:rsidRDefault="00DA27D2" w:rsidP="00DA27D2">
            <w:pPr>
              <w:jc w:val="right"/>
              <w:rPr>
                <w:rFonts w:ascii="Arial" w:hAnsi="Arial" w:cs="Arial"/>
                <w:b/>
                <w:bCs/>
                <w:lang w:eastAsia="en-GB"/>
              </w:rPr>
            </w:pPr>
            <w:r w:rsidRPr="00DA27D2">
              <w:rPr>
                <w:rFonts w:ascii="Arial" w:hAnsi="Arial" w:cs="Arial"/>
                <w:b/>
                <w:bCs/>
                <w:lang w:eastAsia="en-GB"/>
              </w:rPr>
              <w:t>(870,336)</w:t>
            </w:r>
          </w:p>
        </w:tc>
        <w:tc>
          <w:tcPr>
            <w:tcW w:w="300" w:type="dxa"/>
            <w:tcBorders>
              <w:top w:val="nil"/>
              <w:left w:val="nil"/>
              <w:bottom w:val="nil"/>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r w:rsidR="00DA27D2" w:rsidRPr="00DA27D2" w:rsidTr="00DA27D2">
        <w:trPr>
          <w:trHeight w:val="255"/>
          <w:jc w:val="center"/>
        </w:trPr>
        <w:tc>
          <w:tcPr>
            <w:tcW w:w="280" w:type="dxa"/>
            <w:tcBorders>
              <w:top w:val="nil"/>
              <w:left w:val="single" w:sz="4" w:space="0" w:color="auto"/>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30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454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08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1180" w:type="dxa"/>
            <w:tcBorders>
              <w:top w:val="nil"/>
              <w:left w:val="nil"/>
              <w:bottom w:val="single" w:sz="4" w:space="0" w:color="auto"/>
              <w:right w:val="nil"/>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rsidR="00DA27D2" w:rsidRPr="00DA27D2" w:rsidRDefault="00DA27D2" w:rsidP="00DA27D2">
            <w:pPr>
              <w:rPr>
                <w:rFonts w:ascii="Arial" w:hAnsi="Arial" w:cs="Arial"/>
                <w:lang w:eastAsia="en-GB"/>
              </w:rPr>
            </w:pPr>
            <w:r w:rsidRPr="00DA27D2">
              <w:rPr>
                <w:rFonts w:ascii="Arial" w:hAnsi="Arial" w:cs="Arial"/>
                <w:lang w:eastAsia="en-GB"/>
              </w:rPr>
              <w:t> </w:t>
            </w:r>
          </w:p>
        </w:tc>
      </w:tr>
    </w:tbl>
    <w:p w:rsidR="001211FA" w:rsidRDefault="001211FA">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F23FFF" w:rsidRDefault="00672827">
      <w:pPr>
        <w:tabs>
          <w:tab w:val="left" w:pos="426"/>
        </w:tabs>
        <w:rPr>
          <w:rFonts w:ascii="Arial" w:hAnsi="Arial" w:cs="Arial"/>
          <w:b/>
          <w:bCs/>
          <w:color w:val="000080"/>
          <w:sz w:val="24"/>
        </w:rPr>
      </w:pPr>
      <w:r>
        <w:rPr>
          <w:rFonts w:ascii="Arial" w:hAnsi="Arial" w:cs="Arial"/>
          <w:b/>
          <w:bCs/>
          <w:color w:val="000080"/>
          <w:sz w:val="24"/>
        </w:rPr>
        <w:t>4</w:t>
      </w:r>
      <w:r w:rsidR="00D43CA2">
        <w:rPr>
          <w:rFonts w:ascii="Arial" w:hAnsi="Arial" w:cs="Arial"/>
          <w:b/>
          <w:bCs/>
          <w:color w:val="000080"/>
          <w:sz w:val="24"/>
        </w:rPr>
        <w:t>3</w:t>
      </w:r>
      <w:r w:rsidR="00597C18">
        <w:rPr>
          <w:rFonts w:ascii="Arial" w:hAnsi="Arial" w:cs="Arial"/>
          <w:b/>
          <w:bCs/>
          <w:color w:val="000080"/>
          <w:sz w:val="24"/>
        </w:rPr>
        <w:t xml:space="preserve">  </w:t>
      </w:r>
      <w:r w:rsidR="003D0548">
        <w:rPr>
          <w:rFonts w:ascii="Arial" w:hAnsi="Arial" w:cs="Arial"/>
          <w:b/>
          <w:bCs/>
          <w:color w:val="000080"/>
          <w:sz w:val="24"/>
        </w:rPr>
        <w:t xml:space="preserve"> </w:t>
      </w:r>
      <w:r w:rsidR="003552BC">
        <w:rPr>
          <w:rFonts w:ascii="Arial" w:hAnsi="Arial" w:cs="Arial"/>
          <w:b/>
          <w:bCs/>
          <w:color w:val="000080"/>
          <w:sz w:val="24"/>
        </w:rPr>
        <w:t>Major Repairs Reserve</w:t>
      </w:r>
    </w:p>
    <w:p w:rsidR="00F23FFF" w:rsidRDefault="00F23FFF">
      <w:pPr>
        <w:rPr>
          <w:rFonts w:ascii="Arial" w:hAnsi="Arial" w:cs="Arial"/>
          <w:sz w:val="22"/>
        </w:rPr>
      </w:pPr>
    </w:p>
    <w:p w:rsidR="003D0548" w:rsidRDefault="00FA51DD" w:rsidP="007D7C6E">
      <w:pPr>
        <w:ind w:left="426"/>
        <w:rPr>
          <w:rFonts w:ascii="Arial" w:hAnsi="Arial" w:cs="Arial"/>
          <w:color w:val="000000"/>
          <w:sz w:val="22"/>
        </w:rPr>
      </w:pPr>
      <w:r>
        <w:rPr>
          <w:rFonts w:ascii="Arial" w:hAnsi="Arial" w:cs="Arial"/>
          <w:color w:val="000000"/>
          <w:sz w:val="22"/>
        </w:rPr>
        <w:t xml:space="preserve">Previously, within the housing subsidy scheme, there was an annual allowance for major repairs which could only be used for expenditure on major repairs and/or improvements to Housing Revenue Account dwellings. The housing subsidy scheme and, therefore the Major Repairs Allowance, ceased at the end of 2011-12 with the advent of the Self Financing regime. In 2012-13 the Council was required to charge </w:t>
      </w:r>
      <w:r>
        <w:rPr>
          <w:rFonts w:ascii="Arial" w:hAnsi="Arial" w:cs="Arial"/>
          <w:color w:val="000000"/>
          <w:sz w:val="22"/>
        </w:rPr>
        <w:lastRenderedPageBreak/>
        <w:t xml:space="preserve">the Housing Revenue Account a notional amount for depreciation; calculated in a similar way to the major repairs allowance. The notional depreciation charge is reserved to fund similar major repairs and improvement works. </w:t>
      </w:r>
      <w:r w:rsidR="007D7C6E">
        <w:rPr>
          <w:rFonts w:ascii="Arial" w:hAnsi="Arial" w:cs="Arial"/>
          <w:color w:val="000000"/>
          <w:sz w:val="22"/>
        </w:rPr>
        <w:t xml:space="preserve">The transition period will continue till 2017-18, with a </w:t>
      </w:r>
      <w:r>
        <w:rPr>
          <w:rFonts w:ascii="Arial" w:hAnsi="Arial" w:cs="Arial"/>
          <w:color w:val="000000"/>
          <w:sz w:val="22"/>
        </w:rPr>
        <w:t>full depreciation charge equivalent to the whole capital adjustment transfer</w:t>
      </w:r>
      <w:r w:rsidR="007D7C6E" w:rsidRPr="007D7C6E">
        <w:rPr>
          <w:rFonts w:ascii="Arial" w:hAnsi="Arial" w:cs="Arial"/>
          <w:color w:val="000000"/>
          <w:sz w:val="22"/>
        </w:rPr>
        <w:t xml:space="preserve"> </w:t>
      </w:r>
      <w:r w:rsidR="007D7C6E">
        <w:rPr>
          <w:rFonts w:ascii="Arial" w:hAnsi="Arial" w:cs="Arial"/>
          <w:color w:val="000000"/>
          <w:sz w:val="22"/>
        </w:rPr>
        <w:t>being charged to the Housing Revenue Account from 2018-19.</w:t>
      </w:r>
    </w:p>
    <w:p w:rsidR="003D0548" w:rsidRDefault="003D0548">
      <w:pPr>
        <w:rPr>
          <w:rFonts w:ascii="Arial" w:hAnsi="Arial" w:cs="Arial"/>
          <w:color w:val="000000"/>
          <w:sz w:val="22"/>
        </w:rPr>
      </w:pPr>
    </w:p>
    <w:p w:rsidR="001211FA" w:rsidRDefault="001211FA">
      <w:pPr>
        <w:rPr>
          <w:rFonts w:ascii="Arial" w:hAnsi="Arial" w:cs="Arial"/>
          <w:color w:val="000000"/>
          <w:sz w:val="22"/>
        </w:rPr>
      </w:pPr>
    </w:p>
    <w:p w:rsidR="001211FA" w:rsidRDefault="001211FA">
      <w:pPr>
        <w:rPr>
          <w:rFonts w:ascii="Arial" w:hAnsi="Arial" w:cs="Arial"/>
          <w:color w:val="000000"/>
          <w:sz w:val="22"/>
        </w:rPr>
      </w:pPr>
    </w:p>
    <w:p w:rsidR="001211FA" w:rsidRDefault="00056AFD" w:rsidP="000A55EE">
      <w:pPr>
        <w:jc w:val="center"/>
        <w:rPr>
          <w:rFonts w:ascii="Arial" w:hAnsi="Arial" w:cs="Arial"/>
          <w:color w:val="000000"/>
          <w:sz w:val="22"/>
        </w:rPr>
      </w:pPr>
      <w:r w:rsidRPr="00056AFD">
        <w:rPr>
          <w:noProof/>
          <w:lang w:eastAsia="en-GB"/>
        </w:rPr>
        <w:drawing>
          <wp:inline distT="0" distB="0" distL="0" distR="0" wp14:anchorId="09A355B3" wp14:editId="5A1B71EB">
            <wp:extent cx="5909122" cy="1990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2530" cy="1991873"/>
                    </a:xfrm>
                    <a:prstGeom prst="rect">
                      <a:avLst/>
                    </a:prstGeom>
                    <a:noFill/>
                    <a:ln>
                      <a:noFill/>
                    </a:ln>
                  </pic:spPr>
                </pic:pic>
              </a:graphicData>
            </a:graphic>
          </wp:inline>
        </w:drawing>
      </w:r>
    </w:p>
    <w:p w:rsidR="003D6406" w:rsidRDefault="003D6406">
      <w:pPr>
        <w:rPr>
          <w:rFonts w:ascii="Arial" w:hAnsi="Arial" w:cs="Arial"/>
          <w:color w:val="000000"/>
          <w:sz w:val="22"/>
        </w:rPr>
      </w:pPr>
    </w:p>
    <w:p w:rsidR="001211FA" w:rsidRDefault="001211FA">
      <w:pPr>
        <w:rPr>
          <w:rFonts w:ascii="Arial" w:hAnsi="Arial" w:cs="Arial"/>
          <w:color w:val="000000"/>
          <w:sz w:val="22"/>
        </w:rPr>
      </w:pPr>
    </w:p>
    <w:p w:rsidR="003D6406" w:rsidRDefault="003D6406">
      <w:pPr>
        <w:rPr>
          <w:rFonts w:ascii="Arial" w:hAnsi="Arial" w:cs="Arial"/>
          <w:b/>
          <w:bCs/>
          <w:color w:val="333399"/>
          <w:sz w:val="22"/>
        </w:rPr>
      </w:pPr>
    </w:p>
    <w:p w:rsidR="001211FA" w:rsidRDefault="001211FA">
      <w:pPr>
        <w:rPr>
          <w:rFonts w:ascii="Arial" w:hAnsi="Arial" w:cs="Arial"/>
          <w:b/>
          <w:bCs/>
          <w:color w:val="333399"/>
          <w:sz w:val="22"/>
        </w:rPr>
      </w:pPr>
    </w:p>
    <w:p w:rsidR="00F23FFF" w:rsidRDefault="00672827">
      <w:pPr>
        <w:tabs>
          <w:tab w:val="left" w:pos="426"/>
        </w:tabs>
        <w:ind w:left="426" w:hanging="426"/>
        <w:rPr>
          <w:rFonts w:ascii="Arial" w:hAnsi="Arial" w:cs="Arial"/>
          <w:color w:val="000080"/>
          <w:sz w:val="24"/>
        </w:rPr>
      </w:pPr>
      <w:r>
        <w:rPr>
          <w:rFonts w:ascii="Arial" w:hAnsi="Arial" w:cs="Arial"/>
          <w:b/>
          <w:bCs/>
          <w:color w:val="000080"/>
          <w:sz w:val="24"/>
        </w:rPr>
        <w:t>4</w:t>
      </w:r>
      <w:r w:rsidR="00D43CA2">
        <w:rPr>
          <w:rFonts w:ascii="Arial" w:hAnsi="Arial" w:cs="Arial"/>
          <w:b/>
          <w:bCs/>
          <w:color w:val="000080"/>
          <w:sz w:val="24"/>
        </w:rPr>
        <w:t>4</w:t>
      </w:r>
      <w:r w:rsidR="003552BC">
        <w:rPr>
          <w:rFonts w:ascii="Arial" w:hAnsi="Arial" w:cs="Arial"/>
          <w:b/>
          <w:bCs/>
          <w:color w:val="000080"/>
          <w:sz w:val="24"/>
        </w:rPr>
        <w:tab/>
        <w:t xml:space="preserve">HRA share of contributions to or from the Pensions Reserve </w:t>
      </w:r>
    </w:p>
    <w:p w:rsidR="00F23FFF" w:rsidRDefault="00F23FFF">
      <w:pPr>
        <w:rPr>
          <w:rFonts w:ascii="Arial" w:hAnsi="Arial" w:cs="Arial"/>
          <w:color w:val="FF0000"/>
          <w:sz w:val="22"/>
        </w:rPr>
      </w:pPr>
    </w:p>
    <w:p w:rsidR="00DD20E5" w:rsidRDefault="003552BC" w:rsidP="003D6406">
      <w:pPr>
        <w:ind w:left="426"/>
        <w:rPr>
          <w:rFonts w:ascii="Arial" w:hAnsi="Arial" w:cs="Arial"/>
          <w:sz w:val="22"/>
        </w:rPr>
      </w:pPr>
      <w:r>
        <w:rPr>
          <w:rFonts w:ascii="Arial" w:hAnsi="Arial" w:cs="Arial"/>
          <w:sz w:val="22"/>
        </w:rPr>
        <w:t xml:space="preserve">This contribution, shown in the Statement of Movement on the Housing Revenue Income and Expenditure Account, reverses out the pensions liabilities apportioned to net operating expenditure and adds back in the payments to the pension scheme so that the adoption of International Accounting Standard 19 (IAS 19) Employee Benefits has no effect on the deficit/surplus for the year. </w:t>
      </w:r>
    </w:p>
    <w:p w:rsidR="004A65AE" w:rsidRDefault="004A65AE" w:rsidP="003D6406">
      <w:pPr>
        <w:ind w:left="426"/>
        <w:rPr>
          <w:rFonts w:ascii="Arial" w:hAnsi="Arial" w:cs="Arial"/>
          <w:color w:val="000000"/>
          <w:sz w:val="22"/>
        </w:rPr>
      </w:pPr>
      <w:r w:rsidRPr="007D7C6E">
        <w:rPr>
          <w:rFonts w:ascii="Arial" w:hAnsi="Arial" w:cs="Arial"/>
          <w:sz w:val="22"/>
        </w:rPr>
        <w:t xml:space="preserve">In view of the uncertainty over future pension costs, an additional </w:t>
      </w:r>
      <w:r w:rsidR="003E5BC1">
        <w:rPr>
          <w:rFonts w:ascii="Arial" w:hAnsi="Arial" w:cs="Arial"/>
          <w:sz w:val="22"/>
        </w:rPr>
        <w:t>3.3</w:t>
      </w:r>
      <w:r w:rsidRPr="007D7C6E">
        <w:rPr>
          <w:rFonts w:ascii="Arial" w:hAnsi="Arial" w:cs="Arial"/>
          <w:sz w:val="22"/>
        </w:rPr>
        <w:t>%</w:t>
      </w:r>
      <w:r w:rsidR="00E3135D" w:rsidRPr="007D7C6E">
        <w:rPr>
          <w:rFonts w:ascii="Arial" w:hAnsi="Arial" w:cs="Arial"/>
          <w:sz w:val="22"/>
        </w:rPr>
        <w:t xml:space="preserve"> of pensionable pay has been charged against the Housing Revenue Account and placed in a reserve for use in future years</w:t>
      </w:r>
      <w:r w:rsidR="00A77707" w:rsidRPr="007D7C6E">
        <w:rPr>
          <w:rFonts w:ascii="Arial" w:hAnsi="Arial" w:cs="Arial"/>
          <w:sz w:val="22"/>
        </w:rPr>
        <w:t xml:space="preserve"> (Note 6)</w:t>
      </w:r>
      <w:r w:rsidR="00E3135D" w:rsidRPr="007D7C6E">
        <w:rPr>
          <w:rFonts w:ascii="Arial" w:hAnsi="Arial" w:cs="Arial"/>
          <w:sz w:val="22"/>
        </w:rPr>
        <w:t>.</w:t>
      </w:r>
    </w:p>
    <w:p w:rsidR="003D6406" w:rsidRDefault="003D6406">
      <w:pPr>
        <w:rPr>
          <w:rFonts w:ascii="Arial" w:hAnsi="Arial" w:cs="Arial"/>
          <w:color w:val="000000"/>
          <w:sz w:val="22"/>
        </w:rPr>
      </w:pPr>
    </w:p>
    <w:p w:rsidR="003D6406" w:rsidRDefault="003D6406">
      <w:pPr>
        <w:rPr>
          <w:rFonts w:ascii="Arial" w:hAnsi="Arial" w:cs="Arial"/>
          <w:color w:val="000000"/>
          <w:sz w:val="22"/>
        </w:rPr>
      </w:pPr>
    </w:p>
    <w:p w:rsidR="00F23FFF" w:rsidRDefault="00672827" w:rsidP="00DB3091">
      <w:pPr>
        <w:tabs>
          <w:tab w:val="left" w:pos="426"/>
        </w:tabs>
        <w:ind w:left="-90"/>
        <w:rPr>
          <w:rFonts w:ascii="Arial" w:hAnsi="Arial" w:cs="Arial"/>
          <w:b/>
          <w:bCs/>
          <w:color w:val="000080"/>
          <w:sz w:val="24"/>
        </w:rPr>
      </w:pPr>
      <w:r>
        <w:rPr>
          <w:rFonts w:ascii="Arial" w:hAnsi="Arial" w:cs="Arial"/>
          <w:b/>
          <w:bCs/>
          <w:color w:val="000080"/>
          <w:sz w:val="24"/>
        </w:rPr>
        <w:t>4</w:t>
      </w:r>
      <w:r w:rsidR="00D43CA2">
        <w:rPr>
          <w:rFonts w:ascii="Arial" w:hAnsi="Arial" w:cs="Arial"/>
          <w:b/>
          <w:bCs/>
          <w:color w:val="000080"/>
          <w:sz w:val="24"/>
        </w:rPr>
        <w:t>5</w:t>
      </w:r>
      <w:r w:rsidR="003552BC">
        <w:rPr>
          <w:rFonts w:ascii="Arial" w:hAnsi="Arial" w:cs="Arial"/>
          <w:b/>
          <w:bCs/>
          <w:color w:val="000080"/>
          <w:sz w:val="24"/>
        </w:rPr>
        <w:tab/>
        <w:t>Rent arrears on dwellings</w:t>
      </w:r>
    </w:p>
    <w:p w:rsidR="003D6406" w:rsidRDefault="003D6406">
      <w:pPr>
        <w:tabs>
          <w:tab w:val="left" w:pos="426"/>
        </w:tabs>
        <w:ind w:left="-90"/>
        <w:rPr>
          <w:rFonts w:ascii="Arial" w:hAnsi="Arial" w:cs="Arial"/>
          <w:b/>
          <w:bCs/>
          <w:color w:val="000080"/>
          <w:sz w:val="24"/>
        </w:rPr>
      </w:pPr>
    </w:p>
    <w:p w:rsidR="003D6406" w:rsidRDefault="003D6406">
      <w:pPr>
        <w:tabs>
          <w:tab w:val="left" w:pos="426"/>
        </w:tabs>
        <w:ind w:left="-90"/>
        <w:rPr>
          <w:rFonts w:ascii="Arial" w:hAnsi="Arial" w:cs="Arial"/>
          <w:b/>
          <w:bCs/>
          <w:color w:val="000080"/>
          <w:sz w:val="24"/>
        </w:rPr>
      </w:pPr>
    </w:p>
    <w:tbl>
      <w:tblPr>
        <w:tblW w:w="7900" w:type="dxa"/>
        <w:jc w:val="center"/>
        <w:tblInd w:w="93" w:type="dxa"/>
        <w:tblLook w:val="04A0" w:firstRow="1" w:lastRow="0" w:firstColumn="1" w:lastColumn="0" w:noHBand="0" w:noVBand="1"/>
      </w:tblPr>
      <w:tblGrid>
        <w:gridCol w:w="278"/>
        <w:gridCol w:w="1340"/>
        <w:gridCol w:w="4980"/>
        <w:gridCol w:w="1240"/>
        <w:gridCol w:w="278"/>
      </w:tblGrid>
      <w:tr w:rsidR="00056AFD" w:rsidRPr="00056AFD" w:rsidTr="00132F80">
        <w:trPr>
          <w:trHeight w:val="285"/>
          <w:jc w:val="center"/>
        </w:trPr>
        <w:tc>
          <w:tcPr>
            <w:tcW w:w="160" w:type="dxa"/>
            <w:tcBorders>
              <w:top w:val="single" w:sz="4" w:space="0" w:color="auto"/>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single" w:sz="4" w:space="0" w:color="auto"/>
              <w:left w:val="nil"/>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4980" w:type="dxa"/>
            <w:tcBorders>
              <w:top w:val="single" w:sz="4" w:space="0" w:color="auto"/>
              <w:left w:val="nil"/>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240" w:type="dxa"/>
            <w:tcBorders>
              <w:top w:val="single" w:sz="4" w:space="0" w:color="auto"/>
              <w:left w:val="nil"/>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80" w:type="dxa"/>
            <w:tcBorders>
              <w:top w:val="single" w:sz="4" w:space="0" w:color="auto"/>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300"/>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 xml:space="preserve">As at </w:t>
            </w:r>
          </w:p>
        </w:tc>
        <w:tc>
          <w:tcPr>
            <w:tcW w:w="4980" w:type="dxa"/>
            <w:tcBorders>
              <w:top w:val="nil"/>
              <w:left w:val="nil"/>
              <w:bottom w:val="nil"/>
              <w:right w:val="nil"/>
            </w:tcBorders>
            <w:shd w:val="clear" w:color="auto" w:fill="auto"/>
            <w:noWrap/>
            <w:vAlign w:val="bottom"/>
            <w:hideMark/>
          </w:tcPr>
          <w:p w:rsidR="00056AFD" w:rsidRPr="00056AFD" w:rsidRDefault="00056AFD" w:rsidP="00056AFD">
            <w:pP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 xml:space="preserve">As at </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300"/>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31 March</w:t>
            </w:r>
          </w:p>
        </w:tc>
        <w:tc>
          <w:tcPr>
            <w:tcW w:w="4980" w:type="dxa"/>
            <w:tcBorders>
              <w:top w:val="nil"/>
              <w:left w:val="nil"/>
              <w:bottom w:val="nil"/>
              <w:right w:val="nil"/>
            </w:tcBorders>
            <w:shd w:val="clear" w:color="auto" w:fill="auto"/>
            <w:noWrap/>
            <w:vAlign w:val="bottom"/>
            <w:hideMark/>
          </w:tcPr>
          <w:p w:rsidR="00056AFD" w:rsidRPr="00056AFD" w:rsidRDefault="00056AFD" w:rsidP="00056AFD">
            <w:pP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31 March</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300"/>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2013</w:t>
            </w:r>
          </w:p>
        </w:tc>
        <w:tc>
          <w:tcPr>
            <w:tcW w:w="4980" w:type="dxa"/>
            <w:tcBorders>
              <w:top w:val="nil"/>
              <w:left w:val="nil"/>
              <w:bottom w:val="nil"/>
              <w:right w:val="nil"/>
            </w:tcBorders>
            <w:shd w:val="clear" w:color="auto" w:fill="auto"/>
            <w:noWrap/>
            <w:vAlign w:val="bottom"/>
            <w:hideMark/>
          </w:tcPr>
          <w:p w:rsidR="00056AFD" w:rsidRPr="00056AFD" w:rsidRDefault="00056AFD" w:rsidP="00056AFD">
            <w:pP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2014</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300"/>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w:t>
            </w:r>
          </w:p>
        </w:tc>
        <w:tc>
          <w:tcPr>
            <w:tcW w:w="4980" w:type="dxa"/>
            <w:tcBorders>
              <w:top w:val="nil"/>
              <w:left w:val="nil"/>
              <w:bottom w:val="nil"/>
              <w:right w:val="nil"/>
            </w:tcBorders>
            <w:shd w:val="clear" w:color="auto" w:fill="auto"/>
            <w:noWrap/>
            <w:vAlign w:val="bottom"/>
            <w:hideMark/>
          </w:tcPr>
          <w:p w:rsidR="00056AFD" w:rsidRPr="00056AFD" w:rsidRDefault="00056AFD" w:rsidP="00056AFD">
            <w:pPr>
              <w:rPr>
                <w:rFonts w:ascii="Arial" w:hAnsi="Arial" w:cs="Arial"/>
                <w:b/>
                <w:bCs/>
                <w:sz w:val="22"/>
                <w:szCs w:val="22"/>
                <w:lang w:eastAsia="en-GB"/>
              </w:rPr>
            </w:pPr>
          </w:p>
        </w:tc>
        <w:tc>
          <w:tcPr>
            <w:tcW w:w="1240" w:type="dxa"/>
            <w:tcBorders>
              <w:top w:val="nil"/>
              <w:left w:val="nil"/>
              <w:bottom w:val="nil"/>
              <w:right w:val="nil"/>
            </w:tcBorders>
            <w:shd w:val="clear" w:color="auto" w:fill="auto"/>
            <w:noWrap/>
            <w:vAlign w:val="bottom"/>
            <w:hideMark/>
          </w:tcPr>
          <w:p w:rsidR="00056AFD" w:rsidRPr="00056AFD" w:rsidRDefault="00056AFD" w:rsidP="00056AFD">
            <w:pPr>
              <w:jc w:val="center"/>
              <w:rPr>
                <w:rFonts w:ascii="Arial" w:hAnsi="Arial" w:cs="Arial"/>
                <w:b/>
                <w:bCs/>
                <w:sz w:val="22"/>
                <w:szCs w:val="22"/>
                <w:lang w:eastAsia="en-GB"/>
              </w:rPr>
            </w:pPr>
            <w:r w:rsidRPr="00056AFD">
              <w:rPr>
                <w:rFonts w:ascii="Arial" w:hAnsi="Arial" w:cs="Arial"/>
                <w:b/>
                <w:bCs/>
                <w:sz w:val="22"/>
                <w:szCs w:val="22"/>
                <w:lang w:eastAsia="en-GB"/>
              </w:rPr>
              <w:t>£</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285"/>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AFD" w:rsidRPr="00056AFD" w:rsidRDefault="00056AFD" w:rsidP="00056AFD">
            <w:pPr>
              <w:jc w:val="center"/>
              <w:rPr>
                <w:rFonts w:ascii="Arial" w:hAnsi="Arial" w:cs="Arial"/>
                <w:color w:val="000000"/>
                <w:sz w:val="22"/>
                <w:szCs w:val="22"/>
                <w:lang w:eastAsia="en-GB"/>
              </w:rPr>
            </w:pPr>
            <w:r w:rsidRPr="00056AFD">
              <w:rPr>
                <w:rFonts w:ascii="Arial" w:hAnsi="Arial" w:cs="Arial"/>
                <w:color w:val="000000"/>
                <w:sz w:val="22"/>
                <w:szCs w:val="22"/>
                <w:lang w:eastAsia="en-GB"/>
              </w:rPr>
              <w:t>£364,607</w:t>
            </w:r>
          </w:p>
        </w:tc>
        <w:tc>
          <w:tcPr>
            <w:tcW w:w="4980" w:type="dxa"/>
            <w:tcBorders>
              <w:top w:val="single" w:sz="4" w:space="0" w:color="auto"/>
              <w:left w:val="nil"/>
              <w:bottom w:val="single" w:sz="4" w:space="0" w:color="auto"/>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Arrears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56AFD" w:rsidRPr="00056AFD" w:rsidRDefault="00056AFD" w:rsidP="00056AFD">
            <w:pPr>
              <w:jc w:val="center"/>
              <w:rPr>
                <w:rFonts w:ascii="Arial" w:hAnsi="Arial" w:cs="Arial"/>
                <w:color w:val="000000"/>
                <w:sz w:val="22"/>
                <w:szCs w:val="22"/>
                <w:lang w:eastAsia="en-GB"/>
              </w:rPr>
            </w:pPr>
            <w:r w:rsidRPr="00056AFD">
              <w:rPr>
                <w:rFonts w:ascii="Arial" w:hAnsi="Arial" w:cs="Arial"/>
                <w:color w:val="000000"/>
                <w:sz w:val="22"/>
                <w:szCs w:val="22"/>
                <w:lang w:eastAsia="en-GB"/>
              </w:rPr>
              <w:t>£429,733</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285"/>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056AFD" w:rsidRPr="00056AFD" w:rsidRDefault="00056AFD" w:rsidP="00056AFD">
            <w:pPr>
              <w:jc w:val="center"/>
              <w:rPr>
                <w:rFonts w:ascii="Arial" w:hAnsi="Arial" w:cs="Arial"/>
                <w:color w:val="000000"/>
                <w:sz w:val="22"/>
                <w:szCs w:val="22"/>
                <w:lang w:eastAsia="en-GB"/>
              </w:rPr>
            </w:pPr>
            <w:r w:rsidRPr="00056AFD">
              <w:rPr>
                <w:rFonts w:ascii="Arial" w:hAnsi="Arial" w:cs="Arial"/>
                <w:color w:val="000000"/>
                <w:sz w:val="22"/>
                <w:szCs w:val="22"/>
                <w:lang w:eastAsia="en-GB"/>
              </w:rPr>
              <w:t>1.35%</w:t>
            </w:r>
          </w:p>
        </w:tc>
        <w:tc>
          <w:tcPr>
            <w:tcW w:w="4980" w:type="dxa"/>
            <w:tcBorders>
              <w:top w:val="nil"/>
              <w:left w:val="nil"/>
              <w:bottom w:val="single" w:sz="4" w:space="0" w:color="auto"/>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Arrears as a percentage of gross rents collectable</w:t>
            </w:r>
          </w:p>
        </w:tc>
        <w:tc>
          <w:tcPr>
            <w:tcW w:w="1240" w:type="dxa"/>
            <w:tcBorders>
              <w:top w:val="nil"/>
              <w:left w:val="nil"/>
              <w:bottom w:val="single" w:sz="4" w:space="0" w:color="auto"/>
              <w:right w:val="single" w:sz="4" w:space="0" w:color="auto"/>
            </w:tcBorders>
            <w:shd w:val="clear" w:color="auto" w:fill="auto"/>
            <w:noWrap/>
            <w:vAlign w:val="bottom"/>
            <w:hideMark/>
          </w:tcPr>
          <w:p w:rsidR="00056AFD" w:rsidRPr="00056AFD" w:rsidRDefault="00056AFD" w:rsidP="00056AFD">
            <w:pPr>
              <w:jc w:val="center"/>
              <w:rPr>
                <w:rFonts w:ascii="Arial" w:hAnsi="Arial" w:cs="Arial"/>
                <w:color w:val="000000"/>
                <w:sz w:val="22"/>
                <w:szCs w:val="22"/>
                <w:lang w:eastAsia="en-GB"/>
              </w:rPr>
            </w:pPr>
            <w:r w:rsidRPr="00056AFD">
              <w:rPr>
                <w:rFonts w:ascii="Arial" w:hAnsi="Arial" w:cs="Arial"/>
                <w:color w:val="000000"/>
                <w:sz w:val="22"/>
                <w:szCs w:val="22"/>
                <w:lang w:eastAsia="en-GB"/>
              </w:rPr>
              <w:t>1.53%</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285"/>
          <w:jc w:val="center"/>
        </w:trPr>
        <w:tc>
          <w:tcPr>
            <w:tcW w:w="160" w:type="dxa"/>
            <w:tcBorders>
              <w:top w:val="nil"/>
              <w:left w:val="single" w:sz="4" w:space="0" w:color="auto"/>
              <w:bottom w:val="nil"/>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056AFD" w:rsidRPr="00056AFD" w:rsidRDefault="00056AFD" w:rsidP="00056AFD">
            <w:pPr>
              <w:jc w:val="center"/>
              <w:rPr>
                <w:rFonts w:ascii="Arial" w:hAnsi="Arial" w:cs="Arial"/>
                <w:color w:val="000000"/>
                <w:sz w:val="22"/>
                <w:szCs w:val="22"/>
                <w:lang w:eastAsia="en-GB"/>
              </w:rPr>
            </w:pPr>
            <w:r w:rsidRPr="00056AFD">
              <w:rPr>
                <w:rFonts w:ascii="Arial" w:hAnsi="Arial" w:cs="Arial"/>
                <w:color w:val="000000"/>
                <w:sz w:val="22"/>
                <w:szCs w:val="22"/>
                <w:lang w:eastAsia="en-GB"/>
              </w:rPr>
              <w:t>£270,000</w:t>
            </w:r>
          </w:p>
        </w:tc>
        <w:tc>
          <w:tcPr>
            <w:tcW w:w="4980" w:type="dxa"/>
            <w:tcBorders>
              <w:top w:val="nil"/>
              <w:left w:val="nil"/>
              <w:bottom w:val="single" w:sz="4" w:space="0" w:color="auto"/>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Provision for uncollectable amounts</w:t>
            </w:r>
          </w:p>
        </w:tc>
        <w:tc>
          <w:tcPr>
            <w:tcW w:w="1240" w:type="dxa"/>
            <w:tcBorders>
              <w:top w:val="nil"/>
              <w:left w:val="nil"/>
              <w:bottom w:val="single" w:sz="4" w:space="0" w:color="auto"/>
              <w:right w:val="single" w:sz="4" w:space="0" w:color="auto"/>
            </w:tcBorders>
            <w:shd w:val="clear" w:color="auto" w:fill="auto"/>
            <w:noWrap/>
            <w:vAlign w:val="bottom"/>
            <w:hideMark/>
          </w:tcPr>
          <w:p w:rsidR="00056AFD" w:rsidRPr="00056AFD" w:rsidRDefault="00056AFD" w:rsidP="00056AFD">
            <w:pPr>
              <w:jc w:val="center"/>
              <w:rPr>
                <w:rFonts w:ascii="Arial" w:hAnsi="Arial" w:cs="Arial"/>
                <w:color w:val="000000"/>
                <w:sz w:val="22"/>
                <w:szCs w:val="22"/>
                <w:lang w:eastAsia="en-GB"/>
              </w:rPr>
            </w:pPr>
            <w:r w:rsidRPr="00056AFD">
              <w:rPr>
                <w:rFonts w:ascii="Arial" w:hAnsi="Arial" w:cs="Arial"/>
                <w:color w:val="000000"/>
                <w:sz w:val="22"/>
                <w:szCs w:val="22"/>
                <w:lang w:eastAsia="en-GB"/>
              </w:rPr>
              <w:t>£300,000</w:t>
            </w:r>
          </w:p>
        </w:tc>
        <w:tc>
          <w:tcPr>
            <w:tcW w:w="180" w:type="dxa"/>
            <w:tcBorders>
              <w:top w:val="nil"/>
              <w:left w:val="nil"/>
              <w:bottom w:val="nil"/>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r w:rsidR="00056AFD" w:rsidRPr="00056AFD" w:rsidTr="00132F80">
        <w:trPr>
          <w:trHeight w:val="285"/>
          <w:jc w:val="center"/>
        </w:trPr>
        <w:tc>
          <w:tcPr>
            <w:tcW w:w="160" w:type="dxa"/>
            <w:tcBorders>
              <w:top w:val="nil"/>
              <w:left w:val="single" w:sz="4" w:space="0" w:color="auto"/>
              <w:bottom w:val="single" w:sz="4" w:space="0" w:color="auto"/>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340" w:type="dxa"/>
            <w:tcBorders>
              <w:top w:val="nil"/>
              <w:left w:val="nil"/>
              <w:bottom w:val="single" w:sz="4" w:space="0" w:color="auto"/>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4980" w:type="dxa"/>
            <w:tcBorders>
              <w:top w:val="nil"/>
              <w:left w:val="nil"/>
              <w:bottom w:val="single" w:sz="4" w:space="0" w:color="auto"/>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240" w:type="dxa"/>
            <w:tcBorders>
              <w:top w:val="nil"/>
              <w:left w:val="nil"/>
              <w:bottom w:val="single" w:sz="4" w:space="0" w:color="auto"/>
              <w:right w:val="nil"/>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c>
          <w:tcPr>
            <w:tcW w:w="180" w:type="dxa"/>
            <w:tcBorders>
              <w:top w:val="nil"/>
              <w:left w:val="nil"/>
              <w:bottom w:val="single" w:sz="4" w:space="0" w:color="auto"/>
              <w:right w:val="single" w:sz="4" w:space="0" w:color="auto"/>
            </w:tcBorders>
            <w:shd w:val="clear" w:color="auto" w:fill="auto"/>
            <w:noWrap/>
            <w:vAlign w:val="bottom"/>
            <w:hideMark/>
          </w:tcPr>
          <w:p w:rsidR="00056AFD" w:rsidRPr="00056AFD" w:rsidRDefault="00056AFD" w:rsidP="00056AFD">
            <w:pPr>
              <w:rPr>
                <w:rFonts w:ascii="Arial" w:hAnsi="Arial" w:cs="Arial"/>
                <w:color w:val="000000"/>
                <w:sz w:val="22"/>
                <w:szCs w:val="22"/>
                <w:lang w:eastAsia="en-GB"/>
              </w:rPr>
            </w:pPr>
            <w:r w:rsidRPr="00056AFD">
              <w:rPr>
                <w:rFonts w:ascii="Arial" w:hAnsi="Arial" w:cs="Arial"/>
                <w:color w:val="000000"/>
                <w:sz w:val="22"/>
                <w:szCs w:val="22"/>
                <w:lang w:eastAsia="en-GB"/>
              </w:rPr>
              <w:t> </w:t>
            </w:r>
          </w:p>
        </w:tc>
      </w:tr>
    </w:tbl>
    <w:p w:rsidR="003D6406" w:rsidRDefault="003D6406">
      <w:pPr>
        <w:tabs>
          <w:tab w:val="left" w:pos="426"/>
        </w:tabs>
        <w:ind w:left="-90"/>
        <w:rPr>
          <w:rFonts w:ascii="Arial" w:hAnsi="Arial" w:cs="Arial"/>
          <w:b/>
          <w:bCs/>
          <w:color w:val="000080"/>
          <w:sz w:val="24"/>
        </w:rPr>
      </w:pPr>
    </w:p>
    <w:p w:rsidR="003D6406" w:rsidRDefault="003D6406">
      <w:pPr>
        <w:tabs>
          <w:tab w:val="left" w:pos="426"/>
        </w:tabs>
        <w:ind w:left="-90"/>
        <w:rPr>
          <w:rFonts w:ascii="Arial" w:hAnsi="Arial" w:cs="Arial"/>
          <w:b/>
          <w:bCs/>
          <w:color w:val="000080"/>
          <w:sz w:val="24"/>
        </w:rPr>
      </w:pPr>
    </w:p>
    <w:p w:rsidR="00F23FFF" w:rsidRPr="00DB3091" w:rsidRDefault="00F23FFF" w:rsidP="003D6406">
      <w:pPr>
        <w:jc w:val="center"/>
        <w:rPr>
          <w:rFonts w:ascii="Arial" w:hAnsi="Arial" w:cs="Arial"/>
          <w:color w:val="003399"/>
          <w:sz w:val="24"/>
          <w:szCs w:val="24"/>
        </w:rPr>
      </w:pPr>
    </w:p>
    <w:p w:rsidR="00F23FFF" w:rsidRPr="00DB3091" w:rsidRDefault="00DB3091">
      <w:pPr>
        <w:rPr>
          <w:rFonts w:ascii="Arial" w:hAnsi="Arial" w:cs="Arial"/>
          <w:b/>
          <w:color w:val="000099"/>
          <w:sz w:val="24"/>
          <w:szCs w:val="24"/>
        </w:rPr>
      </w:pPr>
      <w:r w:rsidRPr="00DB3091">
        <w:rPr>
          <w:rFonts w:ascii="Arial" w:hAnsi="Arial" w:cs="Arial"/>
          <w:b/>
          <w:color w:val="000099"/>
          <w:sz w:val="24"/>
          <w:szCs w:val="24"/>
        </w:rPr>
        <w:t>4</w:t>
      </w:r>
      <w:r w:rsidR="00D43CA2">
        <w:rPr>
          <w:rFonts w:ascii="Arial" w:hAnsi="Arial" w:cs="Arial"/>
          <w:b/>
          <w:color w:val="000099"/>
          <w:sz w:val="24"/>
          <w:szCs w:val="24"/>
        </w:rPr>
        <w:t>6</w:t>
      </w:r>
      <w:r w:rsidRPr="00DB3091">
        <w:rPr>
          <w:rFonts w:ascii="Arial" w:hAnsi="Arial" w:cs="Arial"/>
          <w:b/>
          <w:color w:val="000099"/>
          <w:sz w:val="24"/>
          <w:szCs w:val="24"/>
        </w:rPr>
        <w:t xml:space="preserve">   </w:t>
      </w:r>
      <w:r w:rsidR="00A427BA" w:rsidRPr="00DB3091">
        <w:rPr>
          <w:rFonts w:ascii="Arial" w:hAnsi="Arial" w:cs="Arial"/>
          <w:b/>
          <w:color w:val="000099"/>
          <w:sz w:val="24"/>
          <w:szCs w:val="24"/>
        </w:rPr>
        <w:t>Movement in Reserves Statement – transfers (to)/from Earmarked Reserves</w:t>
      </w:r>
    </w:p>
    <w:p w:rsidR="00DD20E5" w:rsidRDefault="00DD20E5">
      <w:pPr>
        <w:rPr>
          <w:rFonts w:ascii="Arial" w:hAnsi="Arial" w:cs="Arial"/>
          <w:sz w:val="22"/>
        </w:rPr>
      </w:pPr>
    </w:p>
    <w:p w:rsidR="00DB3091" w:rsidRDefault="00DB3091" w:rsidP="00DB3091">
      <w:pPr>
        <w:ind w:left="426"/>
        <w:rPr>
          <w:rFonts w:ascii="Arial" w:hAnsi="Arial" w:cs="Arial"/>
          <w:sz w:val="22"/>
        </w:rPr>
      </w:pPr>
      <w:r>
        <w:rPr>
          <w:rFonts w:ascii="Arial" w:hAnsi="Arial" w:cs="Arial"/>
          <w:sz w:val="22"/>
        </w:rPr>
        <w:t>This note sets out the amount set aside from the Housing Revenue Account balances in Earmarked Reserves to provide financing for future expenditure plans.</w:t>
      </w:r>
    </w:p>
    <w:p w:rsidR="00DB3091" w:rsidRDefault="00DB3091">
      <w:pPr>
        <w:rPr>
          <w:rFonts w:ascii="Arial" w:hAnsi="Arial" w:cs="Arial"/>
          <w:sz w:val="22"/>
        </w:rPr>
      </w:pPr>
    </w:p>
    <w:p w:rsidR="00DB3091" w:rsidRDefault="00DB3091">
      <w:pPr>
        <w:rPr>
          <w:rFonts w:ascii="Arial" w:hAnsi="Arial" w:cs="Arial"/>
          <w:sz w:val="22"/>
        </w:rPr>
      </w:pPr>
    </w:p>
    <w:p w:rsidR="00DD20E5" w:rsidRDefault="006274A5" w:rsidP="00132F80">
      <w:pPr>
        <w:jc w:val="center"/>
        <w:rPr>
          <w:rFonts w:ascii="Arial" w:hAnsi="Arial" w:cs="Arial"/>
          <w:sz w:val="22"/>
        </w:rPr>
      </w:pPr>
      <w:r w:rsidRPr="006274A5">
        <w:rPr>
          <w:noProof/>
          <w:lang w:eastAsia="en-GB"/>
        </w:rPr>
        <w:drawing>
          <wp:inline distT="0" distB="0" distL="0" distR="0">
            <wp:extent cx="5248275" cy="24574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8275" cy="2457450"/>
                    </a:xfrm>
                    <a:prstGeom prst="rect">
                      <a:avLst/>
                    </a:prstGeom>
                    <a:noFill/>
                    <a:ln>
                      <a:noFill/>
                    </a:ln>
                  </pic:spPr>
                </pic:pic>
              </a:graphicData>
            </a:graphic>
          </wp:inline>
        </w:drawing>
      </w:r>
    </w:p>
    <w:p w:rsidR="001211FA" w:rsidRDefault="001211FA">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6274A5" w:rsidRDefault="006274A5">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1211FA" w:rsidRDefault="001211FA">
      <w:pPr>
        <w:rPr>
          <w:rFonts w:ascii="Arial" w:hAnsi="Arial" w:cs="Arial"/>
          <w:sz w:val="22"/>
        </w:rPr>
      </w:pPr>
    </w:p>
    <w:p w:rsidR="003E5BC1" w:rsidRDefault="003E5BC1">
      <w:pPr>
        <w:rPr>
          <w:rFonts w:ascii="Arial" w:hAnsi="Arial" w:cs="Arial"/>
          <w:sz w:val="22"/>
        </w:rPr>
      </w:pPr>
    </w:p>
    <w:p w:rsidR="001211FA" w:rsidRDefault="001211FA">
      <w:pPr>
        <w:rPr>
          <w:rFonts w:ascii="Arial" w:hAnsi="Arial" w:cs="Arial"/>
          <w:sz w:val="22"/>
        </w:rPr>
      </w:pPr>
    </w:p>
    <w:p w:rsidR="00DD20E5" w:rsidRPr="00DD20E5" w:rsidRDefault="00DD20E5" w:rsidP="00DD20E5"/>
    <w:p w:rsidR="00F23FFF" w:rsidRDefault="003552BC">
      <w:pPr>
        <w:pStyle w:val="Heading6"/>
        <w:jc w:val="left"/>
        <w:rPr>
          <w:rFonts w:ascii="Arial" w:hAnsi="Arial" w:cs="Arial"/>
          <w:sz w:val="28"/>
        </w:rPr>
      </w:pPr>
      <w:r>
        <w:rPr>
          <w:rFonts w:ascii="Arial" w:hAnsi="Arial" w:cs="Arial"/>
          <w:sz w:val="28"/>
        </w:rPr>
        <w:lastRenderedPageBreak/>
        <w:t>Notes to the Collection Fund Account</w:t>
      </w:r>
    </w:p>
    <w:p w:rsidR="00F23FFF" w:rsidRDefault="00F23FFF">
      <w:pPr>
        <w:rPr>
          <w:rFonts w:ascii="Arial" w:hAnsi="Arial" w:cs="Arial"/>
          <w:b/>
          <w:sz w:val="22"/>
        </w:rPr>
      </w:pPr>
    </w:p>
    <w:p w:rsidR="00F23FFF" w:rsidRDefault="00D43CA2">
      <w:pPr>
        <w:pStyle w:val="xl50"/>
        <w:tabs>
          <w:tab w:val="left" w:pos="426"/>
          <w:tab w:val="left" w:pos="851"/>
        </w:tabs>
        <w:spacing w:before="0" w:beforeAutospacing="0" w:after="0" w:afterAutospacing="0"/>
        <w:rPr>
          <w:rFonts w:eastAsia="Times New Roman"/>
          <w:bCs w:val="0"/>
          <w:szCs w:val="20"/>
        </w:rPr>
      </w:pPr>
      <w:r>
        <w:rPr>
          <w:rFonts w:eastAsia="Times New Roman"/>
          <w:bCs w:val="0"/>
          <w:szCs w:val="20"/>
        </w:rPr>
        <w:t>47</w:t>
      </w:r>
      <w:r w:rsidR="003552BC">
        <w:rPr>
          <w:rFonts w:eastAsia="Times New Roman"/>
          <w:bCs w:val="0"/>
          <w:szCs w:val="20"/>
        </w:rPr>
        <w:tab/>
        <w:t>General</w:t>
      </w:r>
    </w:p>
    <w:p w:rsidR="00F23FFF" w:rsidRDefault="00F23FFF">
      <w:pPr>
        <w:rPr>
          <w:rFonts w:ascii="Arial" w:hAnsi="Arial" w:cs="Arial"/>
          <w:sz w:val="22"/>
        </w:rPr>
      </w:pPr>
    </w:p>
    <w:p w:rsidR="00F23FFF" w:rsidRDefault="003552BC">
      <w:pPr>
        <w:ind w:left="426"/>
        <w:rPr>
          <w:rFonts w:ascii="Arial" w:hAnsi="Arial" w:cs="Arial"/>
          <w:sz w:val="22"/>
        </w:rPr>
      </w:pPr>
      <w:r>
        <w:rPr>
          <w:rFonts w:ascii="Arial" w:hAnsi="Arial" w:cs="Arial"/>
          <w:sz w:val="22"/>
        </w:rPr>
        <w:t>This account represents the transactions of the Collection Fund, which have been prepared on the accruals basis.</w:t>
      </w:r>
    </w:p>
    <w:p w:rsidR="00F23FFF" w:rsidRDefault="00F23FFF">
      <w:pPr>
        <w:rPr>
          <w:rFonts w:ascii="Arial" w:hAnsi="Arial" w:cs="Arial"/>
          <w:sz w:val="22"/>
        </w:rPr>
      </w:pPr>
    </w:p>
    <w:p w:rsidR="00F23FFF" w:rsidRDefault="00D43CA2">
      <w:pPr>
        <w:tabs>
          <w:tab w:val="left" w:pos="426"/>
        </w:tabs>
        <w:rPr>
          <w:rFonts w:ascii="Arial" w:hAnsi="Arial" w:cs="Arial"/>
          <w:b/>
          <w:color w:val="000080"/>
          <w:sz w:val="24"/>
        </w:rPr>
      </w:pPr>
      <w:r>
        <w:rPr>
          <w:rFonts w:ascii="Arial" w:hAnsi="Arial" w:cs="Arial"/>
          <w:b/>
          <w:color w:val="000080"/>
          <w:sz w:val="24"/>
        </w:rPr>
        <w:t>48</w:t>
      </w:r>
      <w:r w:rsidR="003552BC">
        <w:rPr>
          <w:rFonts w:ascii="Arial" w:hAnsi="Arial" w:cs="Arial"/>
          <w:b/>
          <w:color w:val="000080"/>
          <w:sz w:val="24"/>
        </w:rPr>
        <w:tab/>
        <w:t>Council tax</w:t>
      </w:r>
    </w:p>
    <w:p w:rsidR="00F23FFF" w:rsidRDefault="00F23FFF">
      <w:pPr>
        <w:rPr>
          <w:rFonts w:ascii="Arial" w:hAnsi="Arial" w:cs="Arial"/>
          <w:sz w:val="22"/>
        </w:rPr>
      </w:pPr>
    </w:p>
    <w:p w:rsidR="00F23FFF" w:rsidRDefault="003552BC">
      <w:pPr>
        <w:ind w:left="426"/>
        <w:rPr>
          <w:rFonts w:ascii="Arial" w:hAnsi="Arial" w:cs="Arial"/>
          <w:sz w:val="22"/>
        </w:rPr>
      </w:pPr>
      <w:r>
        <w:rPr>
          <w:rFonts w:ascii="Arial" w:hAnsi="Arial" w:cs="Arial"/>
          <w:sz w:val="22"/>
        </w:rPr>
        <w:t>The Council Tax is raised to finance local authority net expenditure which is not met from government grants, and there is one bill for each dwelling based on the valuation band in which the dwelling is placed. There is a discount scheme for dwellings with fewer than two liable persons, a benefit scheme for persons on low incomes and a reduction for people with disabilities.</w:t>
      </w:r>
    </w:p>
    <w:p w:rsidR="00F23FFF" w:rsidRDefault="00F23FFF">
      <w:pPr>
        <w:rPr>
          <w:rFonts w:ascii="Arial" w:hAnsi="Arial" w:cs="Arial"/>
          <w:sz w:val="22"/>
        </w:rPr>
      </w:pPr>
    </w:p>
    <w:p w:rsidR="001E1800" w:rsidRDefault="003552BC" w:rsidP="00132F80">
      <w:pPr>
        <w:ind w:left="426" w:right="28"/>
        <w:rPr>
          <w:rFonts w:ascii="Arial" w:hAnsi="Arial" w:cs="Arial"/>
          <w:sz w:val="22"/>
        </w:rPr>
      </w:pPr>
      <w:r>
        <w:rPr>
          <w:rFonts w:ascii="Arial" w:hAnsi="Arial" w:cs="Arial"/>
          <w:sz w:val="22"/>
        </w:rPr>
        <w:t>The Council Tax base for tax setting purposes is calculated as:</w:t>
      </w:r>
    </w:p>
    <w:p w:rsidR="00491141" w:rsidRDefault="00491141" w:rsidP="00DD20E5">
      <w:pPr>
        <w:ind w:left="426"/>
        <w:rPr>
          <w:rFonts w:ascii="Arial" w:hAnsi="Arial" w:cs="Arial"/>
          <w:sz w:val="22"/>
        </w:rPr>
      </w:pPr>
    </w:p>
    <w:p w:rsidR="00491141" w:rsidRDefault="00491141" w:rsidP="00DD20E5">
      <w:pPr>
        <w:ind w:left="426"/>
        <w:rPr>
          <w:rFonts w:ascii="Arial" w:hAnsi="Arial" w:cs="Arial"/>
          <w:sz w:val="22"/>
        </w:rPr>
      </w:pPr>
    </w:p>
    <w:p w:rsidR="00491141" w:rsidRDefault="00491141" w:rsidP="00DD20E5">
      <w:pPr>
        <w:ind w:left="426"/>
        <w:rPr>
          <w:rFonts w:ascii="Arial" w:hAnsi="Arial" w:cs="Arial"/>
          <w:sz w:val="22"/>
        </w:rPr>
      </w:pPr>
    </w:p>
    <w:tbl>
      <w:tblPr>
        <w:tblW w:w="9341" w:type="dxa"/>
        <w:jc w:val="center"/>
        <w:tblInd w:w="93" w:type="dxa"/>
        <w:tblLook w:val="04A0" w:firstRow="1" w:lastRow="0" w:firstColumn="1" w:lastColumn="0" w:noHBand="0" w:noVBand="1"/>
      </w:tblPr>
      <w:tblGrid>
        <w:gridCol w:w="684"/>
        <w:gridCol w:w="2160"/>
        <w:gridCol w:w="284"/>
        <w:gridCol w:w="2173"/>
        <w:gridCol w:w="272"/>
        <w:gridCol w:w="1100"/>
        <w:gridCol w:w="1420"/>
        <w:gridCol w:w="1329"/>
      </w:tblGrid>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center"/>
            <w:hideMark/>
          </w:tcPr>
          <w:p w:rsidR="00BE541F" w:rsidRPr="00BE541F" w:rsidRDefault="00BE541F" w:rsidP="00BE541F">
            <w:pPr>
              <w:jc w:val="center"/>
              <w:rPr>
                <w:rFonts w:ascii="Arial" w:hAnsi="Arial" w:cs="Arial"/>
                <w:lang w:eastAsia="en-GB"/>
              </w:rPr>
            </w:pPr>
            <w:r w:rsidRPr="00BE541F">
              <w:rPr>
                <w:rFonts w:ascii="Arial" w:hAnsi="Arial" w:cs="Arial"/>
                <w:lang w:eastAsia="en-GB"/>
              </w:rPr>
              <w:t>Number of dwellings</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center"/>
            <w:hideMark/>
          </w:tcPr>
          <w:p w:rsidR="00BE541F" w:rsidRPr="00BE541F" w:rsidRDefault="00BE541F" w:rsidP="00BE541F">
            <w:pPr>
              <w:jc w:val="center"/>
              <w:rPr>
                <w:rFonts w:ascii="Arial" w:hAnsi="Arial" w:cs="Arial"/>
                <w:lang w:eastAsia="en-GB"/>
              </w:rPr>
            </w:pPr>
            <w:r w:rsidRPr="00BE541F">
              <w:rPr>
                <w:rFonts w:ascii="Arial" w:hAnsi="Arial" w:cs="Arial"/>
                <w:lang w:eastAsia="en-GB"/>
              </w:rPr>
              <w:t>adjusted for discount,</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 xml:space="preserve">Ratio to </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Band D</w:t>
            </w:r>
          </w:p>
        </w:tc>
      </w:tr>
      <w:tr w:rsidR="00BE541F" w:rsidRPr="00BE541F" w:rsidTr="00BE541F">
        <w:trPr>
          <w:trHeight w:val="270"/>
          <w:jc w:val="center"/>
        </w:trPr>
        <w:tc>
          <w:tcPr>
            <w:tcW w:w="620"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Band</w:t>
            </w:r>
          </w:p>
        </w:tc>
        <w:tc>
          <w:tcPr>
            <w:tcW w:w="2160"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Valuation</w:t>
            </w:r>
          </w:p>
        </w:tc>
        <w:tc>
          <w:tcPr>
            <w:tcW w:w="284"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2173" w:type="dxa"/>
            <w:tcBorders>
              <w:top w:val="nil"/>
              <w:left w:val="nil"/>
              <w:bottom w:val="single" w:sz="12" w:space="0" w:color="auto"/>
              <w:right w:val="nil"/>
            </w:tcBorders>
            <w:shd w:val="clear" w:color="auto" w:fill="auto"/>
            <w:noWrap/>
            <w:vAlign w:val="center"/>
            <w:hideMark/>
          </w:tcPr>
          <w:p w:rsidR="00BE541F" w:rsidRPr="00BE541F" w:rsidRDefault="00BE541F" w:rsidP="00BE541F">
            <w:pPr>
              <w:jc w:val="center"/>
              <w:rPr>
                <w:rFonts w:ascii="Arial" w:hAnsi="Arial" w:cs="Arial"/>
                <w:lang w:eastAsia="en-GB"/>
              </w:rPr>
            </w:pPr>
            <w:r w:rsidRPr="00BE541F">
              <w:rPr>
                <w:rFonts w:ascii="Arial" w:hAnsi="Arial" w:cs="Arial"/>
                <w:lang w:eastAsia="en-GB"/>
              </w:rPr>
              <w:t>exemptions, etc.</w:t>
            </w:r>
          </w:p>
        </w:tc>
        <w:tc>
          <w:tcPr>
            <w:tcW w:w="264"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100" w:type="dxa"/>
            <w:tcBorders>
              <w:top w:val="nil"/>
              <w:left w:val="nil"/>
              <w:bottom w:val="single" w:sz="12" w:space="0" w:color="auto"/>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Band D</w:t>
            </w:r>
          </w:p>
        </w:tc>
        <w:tc>
          <w:tcPr>
            <w:tcW w:w="1420"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320" w:type="dxa"/>
            <w:tcBorders>
              <w:top w:val="nil"/>
              <w:left w:val="nil"/>
              <w:bottom w:val="single" w:sz="12" w:space="0" w:color="auto"/>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equivalents</w:t>
            </w:r>
          </w:p>
        </w:tc>
      </w:tr>
      <w:tr w:rsidR="00BE541F" w:rsidRPr="00BE541F" w:rsidTr="00BE541F">
        <w:trPr>
          <w:trHeight w:val="270"/>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-A</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Up to £40,000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3.0</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5/9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1.7</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A</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Up to £40,000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1,517.2</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6/9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1,011.5</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B</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£40,001   - £52,000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5,188.2</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7/9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4,035.3</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C</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£52,001   - £68,000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15,331.6</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8/9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13,628.1</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D</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£68,001   - £88,000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10,461.6</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9/9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10,461.6</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E</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£88,001   - £120,000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9,771.4</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11/9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11,942.8</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F</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£120,001 - £160,000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6,718.3</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13/9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9,704.2</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G</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£160,001 - £320,000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3,837.4</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15/9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6,395.7</w:t>
            </w:r>
          </w:p>
        </w:tc>
      </w:tr>
      <w:tr w:rsidR="00BE541F" w:rsidRPr="00BE541F" w:rsidTr="00BE541F">
        <w:trPr>
          <w:trHeight w:val="270"/>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H</w:t>
            </w: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More than £320,000</w:t>
            </w: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334.3</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center"/>
              <w:rPr>
                <w:rFonts w:ascii="Arial" w:hAnsi="Arial" w:cs="Arial"/>
                <w:lang w:eastAsia="en-GB"/>
              </w:rPr>
            </w:pPr>
            <w:r w:rsidRPr="00BE541F">
              <w:rPr>
                <w:rFonts w:ascii="Arial" w:hAnsi="Arial" w:cs="Arial"/>
                <w:lang w:eastAsia="en-GB"/>
              </w:rPr>
              <w:t>18/9</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668.6</w:t>
            </w:r>
          </w:p>
        </w:tc>
      </w:tr>
      <w:tr w:rsidR="00BE541F" w:rsidRPr="00BE541F" w:rsidTr="00BE541F">
        <w:trPr>
          <w:trHeight w:val="270"/>
          <w:jc w:val="center"/>
        </w:trPr>
        <w:tc>
          <w:tcPr>
            <w:tcW w:w="620" w:type="dxa"/>
            <w:tcBorders>
              <w:top w:val="single" w:sz="8"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2160" w:type="dxa"/>
            <w:tcBorders>
              <w:top w:val="single" w:sz="8"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284" w:type="dxa"/>
            <w:tcBorders>
              <w:top w:val="single" w:sz="8"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2173" w:type="dxa"/>
            <w:tcBorders>
              <w:top w:val="single" w:sz="8" w:space="0" w:color="auto"/>
              <w:left w:val="nil"/>
              <w:bottom w:val="single" w:sz="12" w:space="0" w:color="auto"/>
              <w:right w:val="nil"/>
            </w:tcBorders>
            <w:shd w:val="clear" w:color="auto" w:fill="auto"/>
            <w:noWrap/>
            <w:vAlign w:val="center"/>
            <w:hideMark/>
          </w:tcPr>
          <w:p w:rsidR="00BE541F" w:rsidRPr="00BE541F" w:rsidRDefault="00BE541F" w:rsidP="00BE541F">
            <w:pPr>
              <w:jc w:val="right"/>
              <w:rPr>
                <w:rFonts w:ascii="Arial" w:hAnsi="Arial" w:cs="Arial"/>
                <w:lang w:eastAsia="en-GB"/>
              </w:rPr>
            </w:pPr>
            <w:r w:rsidRPr="00BE541F">
              <w:rPr>
                <w:rFonts w:ascii="Arial" w:hAnsi="Arial" w:cs="Arial"/>
                <w:lang w:eastAsia="en-GB"/>
              </w:rPr>
              <w:t>53,163.0</w:t>
            </w:r>
          </w:p>
        </w:tc>
        <w:tc>
          <w:tcPr>
            <w:tcW w:w="264" w:type="dxa"/>
            <w:tcBorders>
              <w:top w:val="single" w:sz="8"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100" w:type="dxa"/>
            <w:tcBorders>
              <w:top w:val="single" w:sz="8"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420" w:type="dxa"/>
            <w:tcBorders>
              <w:top w:val="single" w:sz="8"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320" w:type="dxa"/>
            <w:tcBorders>
              <w:top w:val="single" w:sz="8" w:space="0" w:color="auto"/>
              <w:left w:val="nil"/>
              <w:bottom w:val="single" w:sz="12" w:space="0" w:color="auto"/>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57,849.4</w:t>
            </w:r>
          </w:p>
        </w:tc>
      </w:tr>
      <w:tr w:rsidR="00BE541F" w:rsidRPr="00BE541F" w:rsidTr="00BE541F">
        <w:trPr>
          <w:trHeight w:val="270"/>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457" w:type="dxa"/>
            <w:gridSpan w:val="2"/>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Assumed rate of collection</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99.5%</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5241" w:type="dxa"/>
            <w:gridSpan w:val="5"/>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xml:space="preserve">Tax base for tax setting purposes (number of </w:t>
            </w: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721" w:type="dxa"/>
            <w:gridSpan w:val="3"/>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xml:space="preserve">  Band D equivalent dwellings)</w:t>
            </w: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57,560.1</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3821" w:type="dxa"/>
            <w:gridSpan w:val="4"/>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Tax rate for a Band D property</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single" w:sz="4" w:space="0" w:color="auto"/>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£1,536.27</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457" w:type="dxa"/>
            <w:gridSpan w:val="2"/>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Estimated income due</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£88,427,855</w:t>
            </w: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457" w:type="dxa"/>
            <w:gridSpan w:val="2"/>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Actual income due</w:t>
            </w: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55"/>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3821" w:type="dxa"/>
            <w:gridSpan w:val="4"/>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xml:space="preserve">  Net of write offs and provisions</w:t>
            </w:r>
          </w:p>
        </w:tc>
        <w:tc>
          <w:tcPr>
            <w:tcW w:w="14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£89,136,179</w:t>
            </w:r>
          </w:p>
        </w:tc>
        <w:tc>
          <w:tcPr>
            <w:tcW w:w="13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r>
      <w:tr w:rsidR="00BE541F" w:rsidRPr="00BE541F" w:rsidTr="00BE541F">
        <w:trPr>
          <w:trHeight w:val="270"/>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8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73"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64"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10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4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1320" w:type="dxa"/>
            <w:tcBorders>
              <w:top w:val="nil"/>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£89,136,179</w:t>
            </w:r>
          </w:p>
        </w:tc>
      </w:tr>
      <w:tr w:rsidR="00BE541F" w:rsidRPr="00BE541F" w:rsidTr="00BE541F">
        <w:trPr>
          <w:trHeight w:val="270"/>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5241" w:type="dxa"/>
            <w:gridSpan w:val="5"/>
            <w:tcBorders>
              <w:top w:val="single" w:sz="12" w:space="0" w:color="auto"/>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Difference in income due to variations in tax base</w:t>
            </w:r>
          </w:p>
        </w:tc>
        <w:tc>
          <w:tcPr>
            <w:tcW w:w="1320" w:type="dxa"/>
            <w:tcBorders>
              <w:top w:val="single" w:sz="12" w:space="0" w:color="auto"/>
              <w:left w:val="nil"/>
              <w:bottom w:val="nil"/>
              <w:right w:val="nil"/>
            </w:tcBorders>
            <w:shd w:val="clear" w:color="auto" w:fill="auto"/>
            <w:noWrap/>
            <w:vAlign w:val="bottom"/>
            <w:hideMark/>
          </w:tcPr>
          <w:p w:rsidR="00BE541F" w:rsidRPr="00BE541F" w:rsidRDefault="00BE541F" w:rsidP="00BE541F">
            <w:pPr>
              <w:jc w:val="right"/>
              <w:rPr>
                <w:rFonts w:ascii="Arial" w:hAnsi="Arial" w:cs="Arial"/>
                <w:lang w:eastAsia="en-GB"/>
              </w:rPr>
            </w:pPr>
            <w:r w:rsidRPr="00BE541F">
              <w:rPr>
                <w:rFonts w:ascii="Arial" w:hAnsi="Arial" w:cs="Arial"/>
                <w:lang w:eastAsia="en-GB"/>
              </w:rPr>
              <w:t>£708,324</w:t>
            </w:r>
          </w:p>
        </w:tc>
      </w:tr>
      <w:tr w:rsidR="00BE541F" w:rsidRPr="00BE541F" w:rsidTr="00BE541F">
        <w:trPr>
          <w:trHeight w:val="270"/>
          <w:jc w:val="center"/>
        </w:trPr>
        <w:tc>
          <w:tcPr>
            <w:tcW w:w="62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160" w:type="dxa"/>
            <w:tcBorders>
              <w:top w:val="nil"/>
              <w:left w:val="nil"/>
              <w:bottom w:val="nil"/>
              <w:right w:val="nil"/>
            </w:tcBorders>
            <w:shd w:val="clear" w:color="auto" w:fill="auto"/>
            <w:noWrap/>
            <w:vAlign w:val="bottom"/>
            <w:hideMark/>
          </w:tcPr>
          <w:p w:rsidR="00BE541F" w:rsidRPr="00BE541F" w:rsidRDefault="00BE541F" w:rsidP="00BE541F">
            <w:pPr>
              <w:rPr>
                <w:rFonts w:ascii="Arial" w:hAnsi="Arial" w:cs="Arial"/>
                <w:lang w:eastAsia="en-GB"/>
              </w:rPr>
            </w:pPr>
          </w:p>
        </w:tc>
        <w:tc>
          <w:tcPr>
            <w:tcW w:w="2457" w:type="dxa"/>
            <w:gridSpan w:val="2"/>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xml:space="preserve">  and rate of collection</w:t>
            </w:r>
          </w:p>
        </w:tc>
        <w:tc>
          <w:tcPr>
            <w:tcW w:w="264"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100"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420"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c>
          <w:tcPr>
            <w:tcW w:w="1320" w:type="dxa"/>
            <w:tcBorders>
              <w:top w:val="nil"/>
              <w:left w:val="nil"/>
              <w:bottom w:val="single" w:sz="12" w:space="0" w:color="auto"/>
              <w:right w:val="nil"/>
            </w:tcBorders>
            <w:shd w:val="clear" w:color="auto" w:fill="auto"/>
            <w:noWrap/>
            <w:vAlign w:val="bottom"/>
            <w:hideMark/>
          </w:tcPr>
          <w:p w:rsidR="00BE541F" w:rsidRPr="00BE541F" w:rsidRDefault="00BE541F" w:rsidP="00BE541F">
            <w:pPr>
              <w:rPr>
                <w:rFonts w:ascii="Arial" w:hAnsi="Arial" w:cs="Arial"/>
                <w:lang w:eastAsia="en-GB"/>
              </w:rPr>
            </w:pPr>
            <w:r w:rsidRPr="00BE541F">
              <w:rPr>
                <w:rFonts w:ascii="Arial" w:hAnsi="Arial" w:cs="Arial"/>
                <w:lang w:eastAsia="en-GB"/>
              </w:rPr>
              <w:t> </w:t>
            </w:r>
          </w:p>
        </w:tc>
      </w:tr>
    </w:tbl>
    <w:p w:rsidR="00491141" w:rsidRDefault="00491141" w:rsidP="00BE4D3B">
      <w:pPr>
        <w:jc w:val="center"/>
        <w:rPr>
          <w:rFonts w:ascii="Arial" w:hAnsi="Arial" w:cs="Arial"/>
          <w:sz w:val="22"/>
        </w:rPr>
      </w:pPr>
    </w:p>
    <w:p w:rsidR="00491141" w:rsidRDefault="00491141" w:rsidP="00DD20E5">
      <w:pPr>
        <w:ind w:left="426"/>
        <w:rPr>
          <w:rFonts w:ascii="Arial" w:hAnsi="Arial" w:cs="Arial"/>
          <w:sz w:val="22"/>
        </w:rPr>
      </w:pPr>
    </w:p>
    <w:p w:rsidR="00491141" w:rsidRDefault="00491141" w:rsidP="00DE23DE">
      <w:pPr>
        <w:rPr>
          <w:rFonts w:ascii="Arial" w:hAnsi="Arial" w:cs="Arial"/>
          <w:sz w:val="22"/>
        </w:rPr>
      </w:pPr>
    </w:p>
    <w:p w:rsidR="005E331A" w:rsidRDefault="005E331A" w:rsidP="00DE23DE">
      <w:pPr>
        <w:rPr>
          <w:rFonts w:ascii="Arial" w:hAnsi="Arial" w:cs="Arial"/>
          <w:sz w:val="22"/>
        </w:rPr>
      </w:pPr>
    </w:p>
    <w:p w:rsidR="00D23BFD" w:rsidRPr="00DD20E5" w:rsidRDefault="00D23BFD" w:rsidP="00DE23DE">
      <w:pPr>
        <w:rPr>
          <w:rFonts w:ascii="Arial" w:hAnsi="Arial" w:cs="Arial"/>
          <w:sz w:val="22"/>
        </w:rPr>
      </w:pPr>
    </w:p>
    <w:p w:rsidR="00F23FFF" w:rsidRDefault="00D43CA2">
      <w:pPr>
        <w:pStyle w:val="xl50"/>
        <w:tabs>
          <w:tab w:val="left" w:pos="426"/>
        </w:tabs>
        <w:spacing w:before="0" w:beforeAutospacing="0" w:after="0" w:afterAutospacing="0"/>
        <w:rPr>
          <w:rFonts w:eastAsia="Times New Roman"/>
          <w:bCs w:val="0"/>
          <w:szCs w:val="20"/>
        </w:rPr>
      </w:pPr>
      <w:r>
        <w:rPr>
          <w:rFonts w:eastAsia="Times New Roman"/>
          <w:bCs w:val="0"/>
          <w:szCs w:val="20"/>
        </w:rPr>
        <w:lastRenderedPageBreak/>
        <w:t>49</w:t>
      </w:r>
      <w:r w:rsidR="003552BC">
        <w:rPr>
          <w:rFonts w:eastAsia="Times New Roman"/>
          <w:bCs w:val="0"/>
          <w:szCs w:val="20"/>
        </w:rPr>
        <w:tab/>
        <w:t>Income from business rates</w:t>
      </w:r>
    </w:p>
    <w:p w:rsidR="00F23FFF" w:rsidRDefault="00F23FFF">
      <w:pPr>
        <w:rPr>
          <w:rFonts w:ascii="Arial" w:hAnsi="Arial" w:cs="Arial"/>
          <w:sz w:val="22"/>
        </w:rPr>
      </w:pPr>
    </w:p>
    <w:p w:rsidR="00F23FFF" w:rsidRDefault="003552BC">
      <w:pPr>
        <w:ind w:left="426"/>
        <w:rPr>
          <w:rFonts w:ascii="Arial" w:hAnsi="Arial" w:cs="Arial"/>
          <w:sz w:val="22"/>
        </w:rPr>
      </w:pPr>
      <w:r>
        <w:rPr>
          <w:rFonts w:ascii="Arial" w:hAnsi="Arial" w:cs="Arial"/>
          <w:sz w:val="22"/>
        </w:rPr>
        <w:t xml:space="preserve">The Council collects non-domestic rates for its area based on local rateable values multiplied by a uniform rate set by Central Government. The total non-domestic </w:t>
      </w:r>
      <w:r w:rsidRPr="00ED602C">
        <w:rPr>
          <w:rFonts w:ascii="Arial" w:hAnsi="Arial" w:cs="Arial"/>
          <w:sz w:val="22"/>
        </w:rPr>
        <w:t>rateable value as at 31 March 201</w:t>
      </w:r>
      <w:r w:rsidR="003D43AA">
        <w:rPr>
          <w:rFonts w:ascii="Arial" w:hAnsi="Arial" w:cs="Arial"/>
          <w:sz w:val="22"/>
        </w:rPr>
        <w:t>4</w:t>
      </w:r>
      <w:r w:rsidRPr="00ED602C">
        <w:rPr>
          <w:rFonts w:ascii="Arial" w:hAnsi="Arial" w:cs="Arial"/>
          <w:sz w:val="22"/>
        </w:rPr>
        <w:t xml:space="preserve"> </w:t>
      </w:r>
      <w:r w:rsidRPr="00947468">
        <w:rPr>
          <w:rFonts w:ascii="Arial" w:hAnsi="Arial" w:cs="Arial"/>
          <w:sz w:val="22"/>
        </w:rPr>
        <w:t>was £</w:t>
      </w:r>
      <w:r w:rsidR="003D43AA">
        <w:rPr>
          <w:rFonts w:ascii="Arial" w:hAnsi="Arial" w:cs="Arial"/>
          <w:sz w:val="22"/>
        </w:rPr>
        <w:t>173,348,043</w:t>
      </w:r>
      <w:r w:rsidRPr="00ED602C">
        <w:rPr>
          <w:rFonts w:ascii="Arial" w:hAnsi="Arial" w:cs="Arial"/>
          <w:sz w:val="22"/>
        </w:rPr>
        <w:t xml:space="preserve"> and the standard uniform rate was </w:t>
      </w:r>
      <w:r w:rsidR="003D43AA">
        <w:rPr>
          <w:rFonts w:ascii="Arial" w:hAnsi="Arial" w:cs="Arial"/>
          <w:sz w:val="22"/>
        </w:rPr>
        <w:t>47.1</w:t>
      </w:r>
      <w:r w:rsidRPr="00ED602C">
        <w:rPr>
          <w:rFonts w:ascii="Arial" w:hAnsi="Arial" w:cs="Arial"/>
          <w:sz w:val="22"/>
        </w:rPr>
        <w:t xml:space="preserve"> pence in the £, and the small business uniform rate </w:t>
      </w:r>
      <w:r w:rsidR="003D43AA">
        <w:rPr>
          <w:rFonts w:ascii="Arial" w:hAnsi="Arial" w:cs="Arial"/>
          <w:sz w:val="22"/>
        </w:rPr>
        <w:t>46.2</w:t>
      </w:r>
      <w:r w:rsidRPr="00ED602C">
        <w:rPr>
          <w:rFonts w:ascii="Arial" w:hAnsi="Arial" w:cs="Arial"/>
          <w:sz w:val="22"/>
        </w:rPr>
        <w:t xml:space="preserve"> pence in the £. </w:t>
      </w:r>
    </w:p>
    <w:p w:rsidR="00F23FFF" w:rsidRDefault="00F23FFF">
      <w:pPr>
        <w:rPr>
          <w:rFonts w:ascii="Arial" w:hAnsi="Arial" w:cs="Arial"/>
          <w:sz w:val="22"/>
        </w:rPr>
      </w:pPr>
    </w:p>
    <w:p w:rsidR="00F23FFF" w:rsidRDefault="00F23FFF">
      <w:pPr>
        <w:rPr>
          <w:rFonts w:ascii="Arial" w:hAnsi="Arial" w:cs="Arial"/>
          <w:sz w:val="22"/>
        </w:rPr>
      </w:pPr>
    </w:p>
    <w:p w:rsidR="00F23FFF" w:rsidRDefault="00F23FFF">
      <w:pPr>
        <w:rPr>
          <w:rFonts w:ascii="Arial" w:hAnsi="Arial" w:cs="Arial"/>
          <w:sz w:val="22"/>
        </w:rPr>
      </w:pPr>
    </w:p>
    <w:p w:rsidR="007D7C6E" w:rsidRPr="00BD65EB" w:rsidRDefault="007D7C6E" w:rsidP="007D7C6E">
      <w:pPr>
        <w:pStyle w:val="font6"/>
        <w:spacing w:before="0" w:beforeAutospacing="0" w:after="0" w:afterAutospacing="0"/>
        <w:ind w:left="426"/>
        <w:rPr>
          <w:b/>
          <w:color w:val="003399"/>
          <w:sz w:val="24"/>
          <w:szCs w:val="24"/>
        </w:rPr>
      </w:pPr>
      <w:r>
        <w:rPr>
          <w:b/>
          <w:color w:val="003399"/>
          <w:sz w:val="24"/>
          <w:szCs w:val="24"/>
        </w:rPr>
        <w:t xml:space="preserve">Changes to </w:t>
      </w:r>
      <w:r w:rsidRPr="00BD65EB">
        <w:rPr>
          <w:b/>
          <w:color w:val="003399"/>
          <w:sz w:val="24"/>
          <w:szCs w:val="24"/>
        </w:rPr>
        <w:t>Retained Business Rates</w:t>
      </w:r>
    </w:p>
    <w:p w:rsidR="007D7C6E" w:rsidRDefault="007D7C6E" w:rsidP="007D7C6E">
      <w:pPr>
        <w:pStyle w:val="font6"/>
        <w:spacing w:before="0" w:beforeAutospacing="0" w:after="0" w:afterAutospacing="0"/>
        <w:ind w:left="426"/>
        <w:rPr>
          <w:color w:val="auto"/>
        </w:rPr>
      </w:pPr>
    </w:p>
    <w:p w:rsidR="007D7C6E" w:rsidRDefault="007D7C6E" w:rsidP="007D7C6E">
      <w:pPr>
        <w:pStyle w:val="font6"/>
        <w:spacing w:before="0" w:beforeAutospacing="0" w:after="0" w:afterAutospacing="0"/>
        <w:ind w:left="426"/>
        <w:rPr>
          <w:color w:val="auto"/>
        </w:rPr>
      </w:pPr>
      <w:r>
        <w:rPr>
          <w:color w:val="auto"/>
        </w:rPr>
        <w:t>The Local Government Finance Act 2012 introduced a business rates retention scheme that enables local authorities to retain a proportion of the business rates generated in their area. It also enables local authorities to implement tax increment financing, giving the ability to undertake borrowing against future business rates growth, supported by the forecast tax increment that accrues from additional development.</w:t>
      </w:r>
    </w:p>
    <w:p w:rsidR="00442B4A" w:rsidRDefault="00442B4A" w:rsidP="007D7C6E">
      <w:pPr>
        <w:pStyle w:val="font6"/>
        <w:spacing w:before="0" w:beforeAutospacing="0" w:after="0" w:afterAutospacing="0"/>
        <w:ind w:left="426"/>
        <w:rPr>
          <w:color w:val="auto"/>
        </w:rPr>
      </w:pPr>
    </w:p>
    <w:p w:rsidR="007D7C6E" w:rsidRDefault="00DA3713" w:rsidP="007D7C6E">
      <w:pPr>
        <w:pStyle w:val="font6"/>
        <w:spacing w:before="0" w:beforeAutospacing="0" w:after="0" w:afterAutospacing="0"/>
        <w:ind w:left="426"/>
        <w:rPr>
          <w:color w:val="auto"/>
        </w:rPr>
      </w:pPr>
      <w:r>
        <w:rPr>
          <w:color w:val="auto"/>
        </w:rPr>
        <w:t>The n</w:t>
      </w:r>
      <w:r w:rsidR="007D7C6E">
        <w:rPr>
          <w:color w:val="auto"/>
        </w:rPr>
        <w:t>ew arrangements for the retention of business rates c</w:t>
      </w:r>
      <w:r>
        <w:rPr>
          <w:color w:val="auto"/>
        </w:rPr>
        <w:t>a</w:t>
      </w:r>
      <w:r w:rsidR="007D7C6E">
        <w:rPr>
          <w:color w:val="auto"/>
        </w:rPr>
        <w:t>me into effect on 1 April 2013, at which time the Council assume</w:t>
      </w:r>
      <w:r>
        <w:rPr>
          <w:color w:val="auto"/>
        </w:rPr>
        <w:t>d</w:t>
      </w:r>
      <w:r w:rsidR="007D7C6E">
        <w:rPr>
          <w:color w:val="auto"/>
        </w:rPr>
        <w:t xml:space="preserve"> liability for refunding ratepayers who have successfully appealed against the rateable value of their properties on the rating list, which include</w:t>
      </w:r>
      <w:r>
        <w:rPr>
          <w:color w:val="auto"/>
        </w:rPr>
        <w:t>s</w:t>
      </w:r>
      <w:r w:rsidR="007D7C6E">
        <w:rPr>
          <w:color w:val="auto"/>
        </w:rPr>
        <w:t xml:space="preserve"> amounts that were paid over to central Government in respect of 2012-13 and prior years. A provision for these liabilities </w:t>
      </w:r>
      <w:r>
        <w:rPr>
          <w:color w:val="auto"/>
        </w:rPr>
        <w:t>has</w:t>
      </w:r>
      <w:r w:rsidR="007D7C6E">
        <w:rPr>
          <w:color w:val="auto"/>
        </w:rPr>
        <w:t xml:space="preserve"> be</w:t>
      </w:r>
      <w:r>
        <w:rPr>
          <w:color w:val="auto"/>
        </w:rPr>
        <w:t>en</w:t>
      </w:r>
      <w:r w:rsidR="007D7C6E">
        <w:rPr>
          <w:color w:val="auto"/>
        </w:rPr>
        <w:t xml:space="preserve"> rec</w:t>
      </w:r>
      <w:r>
        <w:rPr>
          <w:color w:val="auto"/>
        </w:rPr>
        <w:t>ognised in the 2013-14 accounts</w:t>
      </w:r>
      <w:r w:rsidR="007D7C6E">
        <w:rPr>
          <w:color w:val="auto"/>
        </w:rPr>
        <w:t>.</w:t>
      </w: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ind w:left="426"/>
        <w:rPr>
          <w:rFonts w:ascii="Arial" w:hAnsi="Arial" w:cs="Arial"/>
          <w:sz w:val="22"/>
        </w:rPr>
      </w:pPr>
    </w:p>
    <w:p w:rsidR="00F23FFF" w:rsidRDefault="00F23FFF">
      <w:pPr>
        <w:rPr>
          <w:rFonts w:ascii="Arial" w:hAnsi="Arial" w:cs="Arial"/>
          <w:b/>
          <w:bCs/>
          <w:color w:val="000080"/>
          <w:sz w:val="24"/>
        </w:rPr>
        <w:sectPr w:rsidR="00F23FFF" w:rsidSect="00132F80">
          <w:headerReference w:type="default" r:id="rId70"/>
          <w:pgSz w:w="11907" w:h="16840" w:code="9"/>
          <w:pgMar w:top="1440" w:right="1418" w:bottom="1418" w:left="1814" w:header="720" w:footer="720" w:gutter="0"/>
          <w:cols w:space="720"/>
        </w:sectPr>
      </w:pPr>
    </w:p>
    <w:p w:rsidR="00F23FFF" w:rsidRDefault="003552BC" w:rsidP="00CE6B36">
      <w:pPr>
        <w:rPr>
          <w:rFonts w:ascii="Arial" w:hAnsi="Arial" w:cs="Arial"/>
          <w:b/>
          <w:bCs/>
          <w:color w:val="000080"/>
          <w:sz w:val="36"/>
          <w:szCs w:val="36"/>
        </w:rPr>
      </w:pPr>
      <w:r w:rsidRPr="00CE6B36">
        <w:rPr>
          <w:rFonts w:ascii="Arial" w:hAnsi="Arial" w:cs="Arial"/>
          <w:b/>
          <w:bCs/>
          <w:color w:val="000080"/>
          <w:sz w:val="36"/>
          <w:szCs w:val="36"/>
        </w:rPr>
        <w:lastRenderedPageBreak/>
        <w:t>Glossary of F</w:t>
      </w:r>
      <w:r w:rsidR="00CE6B36">
        <w:rPr>
          <w:rFonts w:ascii="Arial" w:hAnsi="Arial" w:cs="Arial"/>
          <w:b/>
          <w:bCs/>
          <w:color w:val="000080"/>
          <w:sz w:val="36"/>
          <w:szCs w:val="36"/>
        </w:rPr>
        <w:t>inancial Terms and Abbreviations</w:t>
      </w:r>
    </w:p>
    <w:p w:rsidR="00CE6B36" w:rsidRDefault="00CE6B36" w:rsidP="00CE6B36">
      <w:pPr>
        <w:rPr>
          <w:rFonts w:ascii="Arial" w:hAnsi="Arial" w:cs="Arial"/>
          <w:b/>
          <w:bCs/>
          <w:color w:val="000080"/>
          <w:sz w:val="36"/>
          <w:szCs w:val="36"/>
        </w:rPr>
      </w:pPr>
    </w:p>
    <w:p w:rsidR="00CE6B36" w:rsidRDefault="00CE6B36" w:rsidP="00CE6B36">
      <w:pPr>
        <w:rPr>
          <w:rFonts w:ascii="Arial" w:hAnsi="Arial" w:cs="Arial"/>
          <w:color w:val="000080"/>
          <w:sz w:val="22"/>
        </w:rPr>
      </w:pPr>
      <w:r>
        <w:rPr>
          <w:rFonts w:ascii="Arial" w:hAnsi="Arial" w:cs="Arial"/>
          <w:color w:val="000080"/>
          <w:sz w:val="22"/>
        </w:rPr>
        <w:t>Accounting Period</w:t>
      </w:r>
    </w:p>
    <w:p w:rsidR="00CE6B36" w:rsidRDefault="00CE6B36" w:rsidP="00CE6B36">
      <w:pPr>
        <w:rPr>
          <w:rFonts w:ascii="Arial" w:hAnsi="Arial" w:cs="Arial"/>
          <w:sz w:val="22"/>
        </w:rPr>
      </w:pPr>
    </w:p>
    <w:p w:rsidR="00CE6B36" w:rsidRDefault="00CE6B36" w:rsidP="00CE6B36">
      <w:pPr>
        <w:rPr>
          <w:rFonts w:ascii="Arial" w:hAnsi="Arial" w:cs="Arial"/>
          <w:sz w:val="22"/>
        </w:rPr>
      </w:pPr>
      <w:r>
        <w:rPr>
          <w:rFonts w:ascii="Arial" w:hAnsi="Arial" w:cs="Arial"/>
          <w:sz w:val="22"/>
        </w:rPr>
        <w:t>The period of time covered by the accounts, normally 12 months commencing on 1 April for local authorities.</w:t>
      </w:r>
    </w:p>
    <w:p w:rsidR="00CE6B36" w:rsidRDefault="00CE6B36" w:rsidP="00CE6B36">
      <w:pPr>
        <w:rPr>
          <w:rFonts w:ascii="Arial" w:hAnsi="Arial" w:cs="Arial"/>
          <w:sz w:val="22"/>
        </w:rPr>
      </w:pPr>
    </w:p>
    <w:p w:rsidR="00CE6B36" w:rsidRDefault="00CE6B36" w:rsidP="00CE6B36">
      <w:pPr>
        <w:rPr>
          <w:rFonts w:ascii="Arial" w:hAnsi="Arial" w:cs="Arial"/>
          <w:color w:val="000080"/>
          <w:sz w:val="22"/>
        </w:rPr>
      </w:pPr>
      <w:r>
        <w:rPr>
          <w:rFonts w:ascii="Arial" w:hAnsi="Arial" w:cs="Arial"/>
          <w:color w:val="000080"/>
          <w:sz w:val="22"/>
        </w:rPr>
        <w:t>Accounting Policies</w:t>
      </w:r>
    </w:p>
    <w:p w:rsidR="00CE6B36" w:rsidRPr="0074368F" w:rsidRDefault="00CE6B36" w:rsidP="00CE6B36">
      <w:pPr>
        <w:rPr>
          <w:rFonts w:ascii="Arial" w:hAnsi="Arial" w:cs="Arial"/>
          <w:color w:val="000000" w:themeColor="text1"/>
          <w:sz w:val="22"/>
        </w:rPr>
      </w:pPr>
      <w:r w:rsidRPr="0074368F">
        <w:rPr>
          <w:rFonts w:ascii="Arial" w:hAnsi="Arial" w:cs="Arial"/>
          <w:color w:val="000000" w:themeColor="text1"/>
          <w:sz w:val="22"/>
        </w:rPr>
        <w:t>Those principles, bases, conventions, rules and practices applied by an entity that specify how the effects of transactions and other events are to be reflected in its financial statements through:</w:t>
      </w:r>
    </w:p>
    <w:p w:rsidR="00CE6B36" w:rsidRPr="0074368F" w:rsidRDefault="00CE6B36" w:rsidP="00CE6B36">
      <w:pPr>
        <w:pStyle w:val="ListParagraph"/>
        <w:numPr>
          <w:ilvl w:val="0"/>
          <w:numId w:val="33"/>
        </w:numPr>
        <w:ind w:left="709" w:hanging="425"/>
        <w:rPr>
          <w:rFonts w:ascii="Arial" w:hAnsi="Arial" w:cs="Arial"/>
          <w:color w:val="000000" w:themeColor="text1"/>
          <w:sz w:val="22"/>
        </w:rPr>
      </w:pPr>
      <w:r w:rsidRPr="0074368F">
        <w:rPr>
          <w:rFonts w:ascii="Arial" w:hAnsi="Arial" w:cs="Arial"/>
          <w:color w:val="000000" w:themeColor="text1"/>
          <w:sz w:val="22"/>
        </w:rPr>
        <w:t>Recognising</w:t>
      </w:r>
    </w:p>
    <w:p w:rsidR="00CE6B36" w:rsidRPr="0074368F" w:rsidRDefault="00CE6B36" w:rsidP="00CE6B36">
      <w:pPr>
        <w:pStyle w:val="ListParagraph"/>
        <w:numPr>
          <w:ilvl w:val="0"/>
          <w:numId w:val="33"/>
        </w:numPr>
        <w:ind w:left="709" w:hanging="425"/>
        <w:rPr>
          <w:rFonts w:ascii="Arial" w:hAnsi="Arial" w:cs="Arial"/>
          <w:color w:val="000000" w:themeColor="text1"/>
          <w:sz w:val="22"/>
        </w:rPr>
      </w:pPr>
      <w:r w:rsidRPr="0074368F">
        <w:rPr>
          <w:rFonts w:ascii="Arial" w:hAnsi="Arial" w:cs="Arial"/>
          <w:color w:val="000000" w:themeColor="text1"/>
          <w:sz w:val="22"/>
        </w:rPr>
        <w:t>Selecting measurement bases for, and</w:t>
      </w:r>
    </w:p>
    <w:p w:rsidR="00CE6B36" w:rsidRPr="0074368F" w:rsidRDefault="00CE6B36" w:rsidP="00CE6B36">
      <w:pPr>
        <w:pStyle w:val="ListParagraph"/>
        <w:numPr>
          <w:ilvl w:val="0"/>
          <w:numId w:val="33"/>
        </w:numPr>
        <w:ind w:left="709" w:hanging="425"/>
        <w:rPr>
          <w:rFonts w:ascii="Arial" w:hAnsi="Arial" w:cs="Arial"/>
          <w:color w:val="000000" w:themeColor="text1"/>
          <w:sz w:val="22"/>
        </w:rPr>
      </w:pPr>
      <w:r w:rsidRPr="0074368F">
        <w:rPr>
          <w:rFonts w:ascii="Arial" w:hAnsi="Arial" w:cs="Arial"/>
          <w:color w:val="000000" w:themeColor="text1"/>
          <w:sz w:val="22"/>
        </w:rPr>
        <w:t>Presenting assets, liabilities, gains, losses and changes to reserves.</w:t>
      </w:r>
    </w:p>
    <w:p w:rsidR="00CE6B36" w:rsidRPr="0074368F" w:rsidRDefault="00CE6B36" w:rsidP="00CE6B36">
      <w:pPr>
        <w:pStyle w:val="ListParagraph"/>
        <w:ind w:left="0"/>
        <w:rPr>
          <w:rFonts w:ascii="Arial" w:hAnsi="Arial" w:cs="Arial"/>
          <w:color w:val="000000" w:themeColor="text1"/>
          <w:sz w:val="22"/>
        </w:rPr>
      </w:pPr>
      <w:r w:rsidRPr="0074368F">
        <w:rPr>
          <w:rFonts w:ascii="Arial" w:hAnsi="Arial" w:cs="Arial"/>
          <w:color w:val="000000" w:themeColor="text1"/>
          <w:sz w:val="22"/>
        </w:rPr>
        <w:t>Accounting policies define the process whereby transactions and other events are reflected in financial statements. For example, an accounting policy for a particular type of expenditure may specify whether an asset or a loss is to be recognised; the basis on which it is to be measured, and where in the revenue account or balance sheet it is to be presented.</w:t>
      </w:r>
    </w:p>
    <w:p w:rsidR="00CE6B36" w:rsidRPr="00295CAB" w:rsidRDefault="00CE6B36" w:rsidP="00CE6B36">
      <w:pPr>
        <w:pStyle w:val="ListParagraph"/>
        <w:ind w:left="0"/>
        <w:rPr>
          <w:rFonts w:ascii="Arial" w:hAnsi="Arial" w:cs="Arial"/>
          <w:color w:val="000080"/>
          <w:sz w:val="22"/>
        </w:rPr>
      </w:pPr>
    </w:p>
    <w:p w:rsidR="00CE6B36" w:rsidRDefault="00CE6B36" w:rsidP="00CE6B36">
      <w:pPr>
        <w:rPr>
          <w:rFonts w:ascii="Arial" w:hAnsi="Arial" w:cs="Arial"/>
          <w:color w:val="000080"/>
          <w:sz w:val="22"/>
        </w:rPr>
      </w:pPr>
      <w:r>
        <w:rPr>
          <w:rFonts w:ascii="Arial" w:hAnsi="Arial" w:cs="Arial"/>
          <w:color w:val="000080"/>
          <w:sz w:val="22"/>
        </w:rPr>
        <w:t>Accounting Standards</w:t>
      </w:r>
    </w:p>
    <w:p w:rsidR="00CE6B36" w:rsidRPr="0074368F" w:rsidRDefault="00CE6B36" w:rsidP="00CE6B36">
      <w:pPr>
        <w:rPr>
          <w:rFonts w:ascii="Arial" w:hAnsi="Arial" w:cs="Arial"/>
          <w:color w:val="000000" w:themeColor="text1"/>
          <w:sz w:val="22"/>
        </w:rPr>
      </w:pPr>
      <w:proofErr w:type="gramStart"/>
      <w:r w:rsidRPr="0074368F">
        <w:rPr>
          <w:rFonts w:ascii="Arial" w:hAnsi="Arial" w:cs="Arial"/>
          <w:color w:val="000000" w:themeColor="text1"/>
          <w:sz w:val="22"/>
        </w:rPr>
        <w:t>A set of rules explaining how accounts are to be kept.</w:t>
      </w:r>
      <w:proofErr w:type="gramEnd"/>
      <w:r w:rsidRPr="0074368F">
        <w:rPr>
          <w:rFonts w:ascii="Arial" w:hAnsi="Arial" w:cs="Arial"/>
          <w:color w:val="000000" w:themeColor="text1"/>
          <w:sz w:val="22"/>
        </w:rPr>
        <w:t xml:space="preserve"> By law, local authorities must follow ‘proper accounting practices’, which are set out in Act of Parliament and in professional codes and statements of recommended practices. These make comparability, among other things, possible.</w:t>
      </w:r>
    </w:p>
    <w:p w:rsidR="00CE6B36" w:rsidRDefault="00CE6B36" w:rsidP="00CE6B36">
      <w:pPr>
        <w:rPr>
          <w:rFonts w:ascii="Arial" w:hAnsi="Arial" w:cs="Arial"/>
          <w:color w:val="000000" w:themeColor="text1"/>
          <w:sz w:val="22"/>
        </w:rPr>
      </w:pPr>
    </w:p>
    <w:p w:rsidR="00CE6B36" w:rsidRPr="0074368F" w:rsidRDefault="00CE6B36" w:rsidP="00CE6B36">
      <w:pPr>
        <w:rPr>
          <w:rFonts w:ascii="Arial" w:hAnsi="Arial" w:cs="Arial"/>
          <w:color w:val="000099"/>
          <w:sz w:val="22"/>
        </w:rPr>
      </w:pPr>
      <w:r w:rsidRPr="0074368F">
        <w:rPr>
          <w:rFonts w:ascii="Arial" w:hAnsi="Arial" w:cs="Arial"/>
          <w:color w:val="000099"/>
          <w:sz w:val="22"/>
        </w:rPr>
        <w:t>Accruals</w:t>
      </w:r>
    </w:p>
    <w:p w:rsidR="00CE6B36" w:rsidRDefault="00CE6B36" w:rsidP="00CE6B36">
      <w:pPr>
        <w:rPr>
          <w:rFonts w:ascii="Arial" w:hAnsi="Arial" w:cs="Arial"/>
          <w:sz w:val="22"/>
        </w:rPr>
      </w:pPr>
      <w:r>
        <w:rPr>
          <w:rFonts w:ascii="Arial" w:hAnsi="Arial" w:cs="Arial"/>
          <w:sz w:val="22"/>
        </w:rPr>
        <w:t>Sums included in the final accounts to cover income or expenditure attributable to the accounting period but for which payment has not been made/received at the balance sheet date.</w:t>
      </w:r>
    </w:p>
    <w:p w:rsidR="00CE6B36" w:rsidRDefault="00CE6B36" w:rsidP="00CE6B36">
      <w:pPr>
        <w:rPr>
          <w:rFonts w:ascii="Arial" w:hAnsi="Arial" w:cs="Arial"/>
          <w:sz w:val="22"/>
        </w:rPr>
      </w:pPr>
    </w:p>
    <w:p w:rsidR="00CE6B36" w:rsidRPr="00F81A3A" w:rsidRDefault="00CE6B36" w:rsidP="00CE6B36">
      <w:pPr>
        <w:rPr>
          <w:rFonts w:ascii="Arial" w:hAnsi="Arial" w:cs="Arial"/>
          <w:color w:val="000099"/>
          <w:sz w:val="22"/>
        </w:rPr>
      </w:pPr>
      <w:r w:rsidRPr="00F81A3A">
        <w:rPr>
          <w:rFonts w:ascii="Arial" w:hAnsi="Arial" w:cs="Arial"/>
          <w:color w:val="000099"/>
          <w:sz w:val="22"/>
        </w:rPr>
        <w:t>Actuarial gains and losses</w:t>
      </w:r>
    </w:p>
    <w:p w:rsidR="00CE6B36" w:rsidRDefault="00CE6B36" w:rsidP="00CE6B36">
      <w:pPr>
        <w:rPr>
          <w:rFonts w:ascii="Arial" w:hAnsi="Arial" w:cs="Arial"/>
          <w:sz w:val="22"/>
        </w:rPr>
      </w:pPr>
      <w:r>
        <w:rPr>
          <w:rFonts w:ascii="Arial" w:hAnsi="Arial" w:cs="Arial"/>
          <w:sz w:val="22"/>
        </w:rPr>
        <w:t>For a defined benefit pension scheme; the changes in actuarial deficit or surplus that arise because:</w:t>
      </w:r>
    </w:p>
    <w:p w:rsidR="00CE6B36" w:rsidRDefault="00CE6B36" w:rsidP="00CE6B36">
      <w:pPr>
        <w:pStyle w:val="ListParagraph"/>
        <w:numPr>
          <w:ilvl w:val="0"/>
          <w:numId w:val="32"/>
        </w:numPr>
        <w:rPr>
          <w:rFonts w:ascii="Arial" w:hAnsi="Arial" w:cs="Arial"/>
          <w:sz w:val="22"/>
        </w:rPr>
      </w:pPr>
      <w:r>
        <w:rPr>
          <w:rFonts w:ascii="Arial" w:hAnsi="Arial" w:cs="Arial"/>
          <w:sz w:val="22"/>
        </w:rPr>
        <w:t>Events have not coincided with the actuarial assumptions made for the last valuation (experience gains or losses), or</w:t>
      </w:r>
    </w:p>
    <w:p w:rsidR="00CE6B36" w:rsidRPr="00F81A3A" w:rsidRDefault="00CE6B36" w:rsidP="00CE6B36">
      <w:pPr>
        <w:pStyle w:val="ListParagraph"/>
        <w:numPr>
          <w:ilvl w:val="0"/>
          <w:numId w:val="32"/>
        </w:numPr>
        <w:rPr>
          <w:rFonts w:ascii="Arial" w:hAnsi="Arial" w:cs="Arial"/>
          <w:sz w:val="22"/>
        </w:rPr>
      </w:pPr>
      <w:r>
        <w:rPr>
          <w:rFonts w:ascii="Arial" w:hAnsi="Arial" w:cs="Arial"/>
          <w:sz w:val="22"/>
        </w:rPr>
        <w:t>The actuarial assumption have changed</w:t>
      </w:r>
    </w:p>
    <w:p w:rsidR="00CE6B36" w:rsidRDefault="00CE6B36" w:rsidP="00CE6B36">
      <w:pPr>
        <w:rPr>
          <w:rFonts w:ascii="Arial" w:hAnsi="Arial" w:cs="Arial"/>
          <w:color w:val="000080"/>
          <w:sz w:val="22"/>
        </w:rPr>
      </w:pPr>
    </w:p>
    <w:p w:rsidR="00CE6B36" w:rsidRPr="0074368F" w:rsidRDefault="00CE6B36" w:rsidP="00CE6B36">
      <w:pPr>
        <w:rPr>
          <w:rFonts w:ascii="Arial" w:hAnsi="Arial" w:cs="Arial"/>
          <w:color w:val="000080"/>
          <w:sz w:val="22"/>
        </w:rPr>
      </w:pPr>
      <w:r>
        <w:rPr>
          <w:rFonts w:ascii="Arial" w:hAnsi="Arial" w:cs="Arial"/>
          <w:color w:val="000080"/>
          <w:sz w:val="22"/>
        </w:rPr>
        <w:t>Capital Charges</w:t>
      </w:r>
    </w:p>
    <w:p w:rsidR="00CE6B36" w:rsidRDefault="006711FA" w:rsidP="00CE6B36">
      <w:pPr>
        <w:rPr>
          <w:rFonts w:ascii="Arial" w:hAnsi="Arial" w:cs="Arial"/>
          <w:sz w:val="22"/>
        </w:rPr>
      </w:pPr>
      <w:r>
        <w:rPr>
          <w:rFonts w:ascii="Arial" w:hAnsi="Arial" w:cs="Arial"/>
          <w:sz w:val="22"/>
        </w:rPr>
        <w:t>D</w:t>
      </w:r>
      <w:r w:rsidR="00CE6B36">
        <w:rPr>
          <w:rFonts w:ascii="Arial" w:hAnsi="Arial" w:cs="Arial"/>
          <w:sz w:val="22"/>
        </w:rPr>
        <w:t>epreciation charges made to service revenue accounts based on the value of the assets they use.</w:t>
      </w:r>
    </w:p>
    <w:p w:rsidR="00CE6B36" w:rsidRDefault="00CE6B36" w:rsidP="00CE6B36">
      <w:pPr>
        <w:rPr>
          <w:rFonts w:ascii="Arial" w:hAnsi="Arial" w:cs="Arial"/>
          <w:sz w:val="22"/>
        </w:rPr>
      </w:pPr>
    </w:p>
    <w:p w:rsidR="00CE6B36" w:rsidRPr="0074368F" w:rsidRDefault="00CE6B36" w:rsidP="00CE6B36">
      <w:pPr>
        <w:rPr>
          <w:rFonts w:ascii="Arial" w:hAnsi="Arial" w:cs="Arial"/>
          <w:color w:val="000080"/>
          <w:sz w:val="22"/>
        </w:rPr>
      </w:pPr>
      <w:r>
        <w:rPr>
          <w:rFonts w:ascii="Arial" w:hAnsi="Arial" w:cs="Arial"/>
          <w:color w:val="000080"/>
          <w:sz w:val="22"/>
        </w:rPr>
        <w:t>Capital Expenditure</w:t>
      </w:r>
    </w:p>
    <w:p w:rsidR="00CE6B36" w:rsidRDefault="00CE6B36" w:rsidP="00CE6B36">
      <w:pPr>
        <w:rPr>
          <w:rFonts w:ascii="Arial" w:hAnsi="Arial" w:cs="Arial"/>
          <w:sz w:val="22"/>
        </w:rPr>
      </w:pPr>
      <w:proofErr w:type="gramStart"/>
      <w:r>
        <w:rPr>
          <w:rFonts w:ascii="Arial" w:hAnsi="Arial" w:cs="Arial"/>
          <w:sz w:val="22"/>
        </w:rPr>
        <w:t>The expenditure on new assets such as land, buildings, vehicles, plant or equipment, or on enhancements to existing assets which significantly prolong their useful life or increase their value.</w:t>
      </w:r>
      <w:proofErr w:type="gramEnd"/>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Capital Receipt</w:t>
      </w:r>
    </w:p>
    <w:p w:rsidR="00CE6B36" w:rsidRDefault="00CE6B36" w:rsidP="00CE6B36">
      <w:pPr>
        <w:rPr>
          <w:rFonts w:ascii="Arial" w:hAnsi="Arial" w:cs="Arial"/>
          <w:sz w:val="22"/>
        </w:rPr>
      </w:pPr>
      <w:r>
        <w:rPr>
          <w:rFonts w:ascii="Arial" w:hAnsi="Arial" w:cs="Arial"/>
          <w:sz w:val="22"/>
        </w:rPr>
        <w:t>Income received from the sale of capital assets such as council houses, land or other buildings.</w:t>
      </w:r>
    </w:p>
    <w:p w:rsidR="00CE6B36" w:rsidRDefault="00CE6B36" w:rsidP="00CE6B36">
      <w:pPr>
        <w:rPr>
          <w:rFonts w:ascii="Arial" w:hAnsi="Arial" w:cs="Arial"/>
          <w:sz w:val="22"/>
        </w:rPr>
      </w:pP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lastRenderedPageBreak/>
        <w:t>Contingent Liabilities</w:t>
      </w:r>
    </w:p>
    <w:p w:rsidR="00CE6B36" w:rsidRDefault="00CE6B36" w:rsidP="00CE6B36">
      <w:pPr>
        <w:rPr>
          <w:rFonts w:ascii="Arial" w:hAnsi="Arial" w:cs="Arial"/>
          <w:sz w:val="22"/>
        </w:rPr>
      </w:pPr>
      <w:r>
        <w:rPr>
          <w:rFonts w:ascii="Arial" w:hAnsi="Arial" w:cs="Arial"/>
          <w:sz w:val="22"/>
        </w:rPr>
        <w:t>Potential liabilities which are either dependent on a future event or cannot be reliably estimated.</w:t>
      </w: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Creditors</w:t>
      </w:r>
    </w:p>
    <w:p w:rsidR="00CE6B36" w:rsidRDefault="00CE6B36" w:rsidP="00CE6B36">
      <w:pPr>
        <w:rPr>
          <w:rFonts w:ascii="Arial" w:hAnsi="Arial" w:cs="Arial"/>
          <w:color w:val="000080"/>
          <w:sz w:val="22"/>
        </w:rPr>
      </w:pPr>
      <w:r>
        <w:rPr>
          <w:rFonts w:ascii="Arial" w:hAnsi="Arial" w:cs="Arial"/>
          <w:sz w:val="22"/>
        </w:rPr>
        <w:t>Amounts owed by the Council at 31 March for goods or services rendered but not yet paid for.</w:t>
      </w:r>
      <w:r w:rsidRPr="00CE6B36">
        <w:rPr>
          <w:rFonts w:ascii="Arial" w:hAnsi="Arial" w:cs="Arial"/>
          <w:color w:val="000080"/>
          <w:sz w:val="22"/>
        </w:rPr>
        <w:t xml:space="preserve"> </w:t>
      </w:r>
    </w:p>
    <w:p w:rsidR="00CE6B36" w:rsidRDefault="00CE6B36" w:rsidP="00CE6B36">
      <w:pPr>
        <w:rPr>
          <w:rFonts w:ascii="Arial" w:hAnsi="Arial" w:cs="Arial"/>
          <w:color w:val="000080"/>
          <w:sz w:val="22"/>
        </w:rPr>
      </w:pPr>
    </w:p>
    <w:p w:rsidR="00CE6B36" w:rsidRPr="00F81A3A" w:rsidRDefault="00CE6B36" w:rsidP="00CE6B36">
      <w:pPr>
        <w:rPr>
          <w:rFonts w:ascii="Arial" w:hAnsi="Arial" w:cs="Arial"/>
          <w:color w:val="000080"/>
          <w:sz w:val="22"/>
        </w:rPr>
      </w:pPr>
      <w:r>
        <w:rPr>
          <w:rFonts w:ascii="Arial" w:hAnsi="Arial" w:cs="Arial"/>
          <w:color w:val="000080"/>
          <w:sz w:val="22"/>
        </w:rPr>
        <w:t>Current Assets</w:t>
      </w:r>
    </w:p>
    <w:p w:rsidR="00CE6B36" w:rsidRDefault="00CE6B36" w:rsidP="00CE6B36">
      <w:pPr>
        <w:rPr>
          <w:rFonts w:ascii="Arial" w:hAnsi="Arial" w:cs="Arial"/>
          <w:sz w:val="22"/>
        </w:rPr>
      </w:pPr>
      <w:proofErr w:type="gramStart"/>
      <w:r>
        <w:rPr>
          <w:rFonts w:ascii="Arial" w:hAnsi="Arial" w:cs="Arial"/>
          <w:sz w:val="22"/>
        </w:rPr>
        <w:t>Assets which can be expected to be consumed or realised during the next accounting period.</w:t>
      </w:r>
      <w:proofErr w:type="gramEnd"/>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Current Liabilities</w:t>
      </w:r>
    </w:p>
    <w:p w:rsidR="00CE6B36" w:rsidRDefault="00CE6B36" w:rsidP="00CE6B36">
      <w:pPr>
        <w:rPr>
          <w:rFonts w:ascii="Arial" w:hAnsi="Arial" w:cs="Arial"/>
          <w:sz w:val="22"/>
        </w:rPr>
      </w:pPr>
      <w:proofErr w:type="gramStart"/>
      <w:r>
        <w:rPr>
          <w:rFonts w:ascii="Arial" w:hAnsi="Arial" w:cs="Arial"/>
          <w:sz w:val="22"/>
        </w:rPr>
        <w:t>Amounts which will become due or could be called upon during the next accounting period.</w:t>
      </w:r>
      <w:proofErr w:type="gramEnd"/>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Debtors</w:t>
      </w:r>
    </w:p>
    <w:p w:rsidR="00CE6B36" w:rsidRDefault="00CE6B36" w:rsidP="00CE6B36">
      <w:pPr>
        <w:rPr>
          <w:rFonts w:ascii="Arial" w:hAnsi="Arial" w:cs="Arial"/>
          <w:sz w:val="22"/>
        </w:rPr>
      </w:pPr>
      <w:r>
        <w:rPr>
          <w:rFonts w:ascii="Arial" w:hAnsi="Arial" w:cs="Arial"/>
          <w:sz w:val="22"/>
        </w:rPr>
        <w:t>Amounts owed to the Council which are collectable or outstanding at 31 March.</w:t>
      </w:r>
    </w:p>
    <w:p w:rsidR="00CE6B36" w:rsidRDefault="00CE6B36" w:rsidP="00CE6B36">
      <w:pPr>
        <w:rPr>
          <w:rFonts w:ascii="Arial" w:hAnsi="Arial" w:cs="Arial"/>
          <w:sz w:val="22"/>
        </w:rPr>
      </w:pPr>
    </w:p>
    <w:p w:rsidR="00CE6B36" w:rsidRPr="00F81A3A" w:rsidRDefault="00CE6B36" w:rsidP="00CE6B36">
      <w:pPr>
        <w:rPr>
          <w:rFonts w:ascii="Arial" w:hAnsi="Arial" w:cs="Arial"/>
          <w:color w:val="000099"/>
          <w:sz w:val="22"/>
        </w:rPr>
      </w:pPr>
      <w:r w:rsidRPr="00F81A3A">
        <w:rPr>
          <w:rFonts w:ascii="Arial" w:hAnsi="Arial" w:cs="Arial"/>
          <w:color w:val="000099"/>
          <w:sz w:val="22"/>
        </w:rPr>
        <w:t>Defined benefit scheme</w:t>
      </w:r>
    </w:p>
    <w:p w:rsidR="00CE6B36" w:rsidRDefault="00CE6B36" w:rsidP="00CE6B36">
      <w:pPr>
        <w:rPr>
          <w:rFonts w:ascii="Arial" w:hAnsi="Arial" w:cs="Arial"/>
          <w:sz w:val="22"/>
        </w:rPr>
      </w:pPr>
      <w:proofErr w:type="gramStart"/>
      <w:r>
        <w:rPr>
          <w:rFonts w:ascii="Arial" w:hAnsi="Arial" w:cs="Arial"/>
          <w:sz w:val="22"/>
        </w:rPr>
        <w:t>A pension or other retirement benefit scheme other than a defined contributions scheme.</w:t>
      </w:r>
      <w:proofErr w:type="gramEnd"/>
      <w:r>
        <w:rPr>
          <w:rFonts w:ascii="Arial" w:hAnsi="Arial" w:cs="Arial"/>
          <w:sz w:val="22"/>
        </w:rPr>
        <w:t xml:space="preserve"> Usually, the scheme rules define the benefits independently of the contributions payable, and the benefits are not directly related to the investments of the scheme. The scheme may be funded or unfunded (including notionally funded).</w:t>
      </w:r>
    </w:p>
    <w:p w:rsidR="00CE6B36" w:rsidRDefault="00CE6B36" w:rsidP="00CE6B36">
      <w:pPr>
        <w:rPr>
          <w:rFonts w:ascii="Arial" w:hAnsi="Arial" w:cs="Arial"/>
          <w:color w:val="000080"/>
          <w:sz w:val="22"/>
        </w:rPr>
      </w:pPr>
    </w:p>
    <w:p w:rsidR="00CE6B36" w:rsidRPr="00F81A3A" w:rsidRDefault="00CE6B36" w:rsidP="00CE6B36">
      <w:pPr>
        <w:rPr>
          <w:rFonts w:ascii="Arial" w:hAnsi="Arial" w:cs="Arial"/>
          <w:color w:val="000080"/>
          <w:sz w:val="22"/>
        </w:rPr>
      </w:pPr>
      <w:r>
        <w:rPr>
          <w:rFonts w:ascii="Arial" w:hAnsi="Arial" w:cs="Arial"/>
          <w:color w:val="000080"/>
          <w:sz w:val="22"/>
        </w:rPr>
        <w:t>Depreciation</w:t>
      </w:r>
    </w:p>
    <w:p w:rsidR="00CE6B36" w:rsidRDefault="00CE6B36" w:rsidP="00CE6B36">
      <w:pPr>
        <w:rPr>
          <w:rFonts w:ascii="Arial" w:hAnsi="Arial" w:cs="Arial"/>
          <w:sz w:val="22"/>
        </w:rPr>
      </w:pPr>
      <w:proofErr w:type="gramStart"/>
      <w:r>
        <w:rPr>
          <w:rFonts w:ascii="Arial" w:hAnsi="Arial" w:cs="Arial"/>
          <w:sz w:val="22"/>
        </w:rPr>
        <w:t>The estimated losses in value of an asset due to age, deterioration or obsolescence.</w:t>
      </w:r>
      <w:proofErr w:type="gramEnd"/>
    </w:p>
    <w:p w:rsidR="00CE6B36" w:rsidRDefault="00CE6B36" w:rsidP="00CE6B36">
      <w:pPr>
        <w:rPr>
          <w:rFonts w:ascii="Arial" w:hAnsi="Arial" w:cs="Arial"/>
          <w:color w:val="000080"/>
          <w:sz w:val="22"/>
        </w:rPr>
      </w:pPr>
    </w:p>
    <w:p w:rsidR="00CE6B36" w:rsidRPr="00F81A3A" w:rsidRDefault="00CE6B36" w:rsidP="00CE6B36">
      <w:pPr>
        <w:rPr>
          <w:rFonts w:ascii="Arial" w:hAnsi="Arial" w:cs="Arial"/>
          <w:color w:val="000080"/>
          <w:sz w:val="22"/>
        </w:rPr>
      </w:pPr>
      <w:r>
        <w:rPr>
          <w:rFonts w:ascii="Arial" w:hAnsi="Arial" w:cs="Arial"/>
          <w:color w:val="000080"/>
          <w:sz w:val="22"/>
        </w:rPr>
        <w:t>Finance Lease</w:t>
      </w:r>
    </w:p>
    <w:p w:rsidR="00CE6B36" w:rsidRDefault="00CE6B36" w:rsidP="00CE6B36">
      <w:pPr>
        <w:rPr>
          <w:rFonts w:ascii="Arial" w:hAnsi="Arial" w:cs="Arial"/>
          <w:sz w:val="22"/>
        </w:rPr>
      </w:pPr>
      <w:proofErr w:type="gramStart"/>
      <w:r>
        <w:rPr>
          <w:rFonts w:ascii="Arial" w:hAnsi="Arial" w:cs="Arial"/>
          <w:sz w:val="22"/>
        </w:rPr>
        <w:t>A lease that transfers substantially all of the risks and rewards of ownership of a fixed asset to the lessee.</w:t>
      </w:r>
      <w:proofErr w:type="gramEnd"/>
    </w:p>
    <w:p w:rsidR="00CE6B36" w:rsidRDefault="00CE6B36" w:rsidP="00CE6B36">
      <w:pPr>
        <w:rPr>
          <w:rFonts w:ascii="Arial" w:hAnsi="Arial" w:cs="Arial"/>
          <w:b/>
          <w:bCs/>
          <w:color w:val="000080"/>
          <w:sz w:val="28"/>
        </w:rPr>
      </w:pPr>
    </w:p>
    <w:p w:rsidR="00CE6B36" w:rsidRPr="00F81A3A" w:rsidRDefault="00CE6B36" w:rsidP="00CE6B36">
      <w:pPr>
        <w:rPr>
          <w:rFonts w:ascii="Arial" w:hAnsi="Arial" w:cs="Arial"/>
          <w:color w:val="000080"/>
          <w:sz w:val="22"/>
        </w:rPr>
      </w:pPr>
      <w:r>
        <w:rPr>
          <w:rFonts w:ascii="Arial" w:hAnsi="Arial" w:cs="Arial"/>
          <w:color w:val="000080"/>
          <w:sz w:val="22"/>
        </w:rPr>
        <w:t>Non-current Asset</w:t>
      </w:r>
    </w:p>
    <w:p w:rsidR="00CE6B36" w:rsidRDefault="00CE6B36" w:rsidP="00CE6B36">
      <w:pPr>
        <w:rPr>
          <w:rFonts w:ascii="Arial" w:hAnsi="Arial" w:cs="Arial"/>
          <w:sz w:val="22"/>
        </w:rPr>
      </w:pPr>
      <w:proofErr w:type="gramStart"/>
      <w:r>
        <w:rPr>
          <w:rFonts w:ascii="Arial" w:hAnsi="Arial" w:cs="Arial"/>
          <w:sz w:val="22"/>
        </w:rPr>
        <w:t>Assets which can be expected to be of use or benefit to the Council in providing its service for more than one accounting period.</w:t>
      </w:r>
      <w:proofErr w:type="gramEnd"/>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Government Grant</w:t>
      </w:r>
    </w:p>
    <w:p w:rsidR="00CE6B36" w:rsidRDefault="00CE6B36" w:rsidP="00CE6B36">
      <w:pPr>
        <w:rPr>
          <w:rFonts w:ascii="Arial" w:hAnsi="Arial" w:cs="Arial"/>
          <w:sz w:val="22"/>
        </w:rPr>
      </w:pPr>
      <w:proofErr w:type="gramStart"/>
      <w:r>
        <w:rPr>
          <w:rFonts w:ascii="Arial" w:hAnsi="Arial" w:cs="Arial"/>
          <w:sz w:val="22"/>
        </w:rPr>
        <w:t>Payments by central government towards local authority expenditure.</w:t>
      </w:r>
      <w:proofErr w:type="gramEnd"/>
      <w:r>
        <w:rPr>
          <w:rFonts w:ascii="Arial" w:hAnsi="Arial" w:cs="Arial"/>
          <w:sz w:val="22"/>
        </w:rPr>
        <w:t xml:space="preserve"> Grants may be specific, for example Housing Benefit subsidy, or general such as Revenue Support Grant.</w:t>
      </w: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Impairment</w:t>
      </w:r>
    </w:p>
    <w:p w:rsidR="00CE6B36" w:rsidRDefault="00CE6B36" w:rsidP="00CE6B36">
      <w:pPr>
        <w:rPr>
          <w:rFonts w:ascii="Arial" w:hAnsi="Arial" w:cs="Arial"/>
          <w:sz w:val="22"/>
        </w:rPr>
      </w:pPr>
      <w:r>
        <w:rPr>
          <w:rFonts w:ascii="Arial" w:hAnsi="Arial" w:cs="Arial"/>
          <w:sz w:val="22"/>
        </w:rPr>
        <w:t>An asset is impaired when the amount at which an asset is recognised in the Balance Sheet is higher than the asset value.</w:t>
      </w:r>
    </w:p>
    <w:p w:rsidR="00CE6B36" w:rsidRDefault="00CE6B36" w:rsidP="00CE6B36">
      <w:pPr>
        <w:rPr>
          <w:rFonts w:ascii="Arial" w:hAnsi="Arial" w:cs="Arial"/>
          <w:sz w:val="22"/>
        </w:rPr>
      </w:pPr>
    </w:p>
    <w:p w:rsidR="00CE6B36" w:rsidRPr="00F81A3A" w:rsidRDefault="00CE6B36" w:rsidP="00CE6B36">
      <w:pPr>
        <w:rPr>
          <w:rFonts w:ascii="Arial" w:hAnsi="Arial" w:cs="Arial"/>
          <w:color w:val="003399"/>
          <w:sz w:val="22"/>
        </w:rPr>
      </w:pPr>
      <w:r>
        <w:rPr>
          <w:rFonts w:ascii="Arial" w:hAnsi="Arial" w:cs="Arial"/>
          <w:color w:val="003399"/>
          <w:sz w:val="22"/>
        </w:rPr>
        <w:t>Inventories</w:t>
      </w:r>
    </w:p>
    <w:p w:rsidR="00CE6B36" w:rsidRDefault="00CE6B36" w:rsidP="00CE6B36">
      <w:pPr>
        <w:rPr>
          <w:rFonts w:ascii="Arial" w:hAnsi="Arial" w:cs="Arial"/>
          <w:sz w:val="22"/>
        </w:rPr>
      </w:pPr>
      <w:r>
        <w:rPr>
          <w:rFonts w:ascii="Arial" w:hAnsi="Arial" w:cs="Arial"/>
          <w:sz w:val="22"/>
        </w:rPr>
        <w:t>Stock held by the Council e.g. refuse or recycling bins</w:t>
      </w: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Operating Lease</w:t>
      </w:r>
    </w:p>
    <w:p w:rsidR="00CE6B36" w:rsidRDefault="00CE6B36" w:rsidP="00CE6B36">
      <w:pPr>
        <w:rPr>
          <w:rFonts w:ascii="Arial" w:hAnsi="Arial" w:cs="Arial"/>
          <w:sz w:val="22"/>
        </w:rPr>
      </w:pPr>
      <w:proofErr w:type="gramStart"/>
      <w:r>
        <w:rPr>
          <w:rFonts w:ascii="Arial" w:hAnsi="Arial" w:cs="Arial"/>
          <w:sz w:val="22"/>
        </w:rPr>
        <w:t>A lease under which the ownership of the asset remains with the lessor; for practical purposes it is equivalent to contract hiring.</w:t>
      </w:r>
      <w:proofErr w:type="gramEnd"/>
    </w:p>
    <w:p w:rsidR="00CE6B36" w:rsidRDefault="00CE6B36" w:rsidP="00CE6B36">
      <w:pPr>
        <w:rPr>
          <w:rFonts w:ascii="Arial" w:hAnsi="Arial" w:cs="Arial"/>
          <w:sz w:val="22"/>
        </w:rPr>
      </w:pPr>
    </w:p>
    <w:p w:rsidR="00CE6B36" w:rsidRDefault="00CE6B36" w:rsidP="00CE6B36">
      <w:pPr>
        <w:rPr>
          <w:rFonts w:ascii="Arial" w:hAnsi="Arial" w:cs="Arial"/>
          <w:sz w:val="22"/>
        </w:rPr>
      </w:pPr>
    </w:p>
    <w:p w:rsidR="00CE6B36" w:rsidRPr="00864C22" w:rsidRDefault="00CE6B36" w:rsidP="00CE6B36">
      <w:pPr>
        <w:rPr>
          <w:rFonts w:ascii="Arial" w:hAnsi="Arial" w:cs="Arial"/>
          <w:sz w:val="22"/>
        </w:rPr>
      </w:pPr>
      <w:r>
        <w:rPr>
          <w:rFonts w:ascii="Arial" w:hAnsi="Arial" w:cs="Arial"/>
          <w:b/>
          <w:bCs/>
          <w:color w:val="000080"/>
          <w:sz w:val="28"/>
        </w:rPr>
        <w:lastRenderedPageBreak/>
        <w:t>Glossary of Financial Terms and Abbreviations</w:t>
      </w:r>
      <w:r>
        <w:rPr>
          <w:rFonts w:ascii="Arial" w:hAnsi="Arial" w:cs="Arial"/>
          <w:b/>
          <w:bCs/>
          <w:color w:val="000080"/>
          <w:sz w:val="22"/>
        </w:rPr>
        <w:t xml:space="preserve"> (continued)</w:t>
      </w:r>
    </w:p>
    <w:p w:rsidR="00CE6B36" w:rsidRDefault="00CE6B36" w:rsidP="00CE6B36">
      <w:pPr>
        <w:rPr>
          <w:rFonts w:ascii="Arial" w:hAnsi="Arial" w:cs="Arial"/>
          <w:color w:val="000080"/>
          <w:sz w:val="22"/>
        </w:rPr>
      </w:pPr>
    </w:p>
    <w:p w:rsidR="00CE6B36" w:rsidRDefault="00CE6B36" w:rsidP="00CE6B36">
      <w:pPr>
        <w:rPr>
          <w:rFonts w:ascii="Arial" w:hAnsi="Arial" w:cs="Arial"/>
          <w:color w:val="000080"/>
          <w:sz w:val="22"/>
        </w:rPr>
      </w:pPr>
    </w:p>
    <w:p w:rsidR="00CE6B36" w:rsidRPr="00F81A3A" w:rsidRDefault="00CE6B36" w:rsidP="00CE6B36">
      <w:pPr>
        <w:rPr>
          <w:rFonts w:ascii="Arial" w:hAnsi="Arial" w:cs="Arial"/>
          <w:color w:val="000080"/>
          <w:sz w:val="22"/>
        </w:rPr>
      </w:pPr>
      <w:r>
        <w:rPr>
          <w:rFonts w:ascii="Arial" w:hAnsi="Arial" w:cs="Arial"/>
          <w:color w:val="000080"/>
          <w:sz w:val="22"/>
        </w:rPr>
        <w:t>Precepting Authorities</w:t>
      </w:r>
    </w:p>
    <w:p w:rsidR="00CE6B36" w:rsidRDefault="00CE6B36" w:rsidP="00CE6B36">
      <w:pPr>
        <w:rPr>
          <w:rFonts w:ascii="Arial" w:hAnsi="Arial" w:cs="Arial"/>
          <w:sz w:val="22"/>
        </w:rPr>
      </w:pPr>
      <w:r>
        <w:rPr>
          <w:rFonts w:ascii="Arial" w:hAnsi="Arial" w:cs="Arial"/>
          <w:sz w:val="22"/>
        </w:rPr>
        <w:t>Those authorities which are not billing authorities, for example County Councils, Fire, Police, Parish and Town councils.</w:t>
      </w:r>
    </w:p>
    <w:p w:rsidR="00CE6B36" w:rsidRDefault="00CE6B36" w:rsidP="00CE6B36">
      <w:pPr>
        <w:rPr>
          <w:rFonts w:ascii="Arial" w:hAnsi="Arial" w:cs="Arial"/>
          <w:color w:val="000080"/>
          <w:sz w:val="22"/>
        </w:rPr>
      </w:pPr>
    </w:p>
    <w:p w:rsidR="00CE6B36" w:rsidRPr="00F81A3A" w:rsidRDefault="00CE6B36" w:rsidP="00CE6B36">
      <w:pPr>
        <w:rPr>
          <w:rFonts w:ascii="Arial" w:hAnsi="Arial" w:cs="Arial"/>
          <w:color w:val="000080"/>
          <w:sz w:val="22"/>
        </w:rPr>
      </w:pPr>
      <w:r>
        <w:rPr>
          <w:rFonts w:ascii="Arial" w:hAnsi="Arial" w:cs="Arial"/>
          <w:color w:val="000080"/>
          <w:sz w:val="22"/>
        </w:rPr>
        <w:t>Precepts</w:t>
      </w:r>
    </w:p>
    <w:p w:rsidR="00CE6B36" w:rsidRDefault="00CE6B36" w:rsidP="00CE6B36">
      <w:pPr>
        <w:rPr>
          <w:rFonts w:ascii="Arial" w:hAnsi="Arial" w:cs="Arial"/>
          <w:sz w:val="22"/>
        </w:rPr>
      </w:pPr>
      <w:r>
        <w:rPr>
          <w:rFonts w:ascii="Arial" w:hAnsi="Arial" w:cs="Arial"/>
          <w:sz w:val="22"/>
        </w:rPr>
        <w:t>The levy made by precepting authorities on billing authorities, for example District Councils, requiring the billing authority to collect income from council tax payers on their behalf.</w:t>
      </w: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Provisions</w:t>
      </w:r>
    </w:p>
    <w:p w:rsidR="00CE6B36" w:rsidRDefault="00CE6B36" w:rsidP="00CE6B36">
      <w:pPr>
        <w:rPr>
          <w:rFonts w:ascii="Arial" w:hAnsi="Arial" w:cs="Arial"/>
          <w:sz w:val="22"/>
        </w:rPr>
      </w:pPr>
      <w:r>
        <w:rPr>
          <w:rFonts w:ascii="Arial" w:hAnsi="Arial" w:cs="Arial"/>
          <w:sz w:val="22"/>
        </w:rPr>
        <w:t>Monies set aside for liabilities which are likely to be incurred but where exact amounts or dates are uncertain.</w:t>
      </w: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Reserves</w:t>
      </w:r>
    </w:p>
    <w:p w:rsidR="00CE6B36" w:rsidRDefault="00CE6B36" w:rsidP="00CE6B36">
      <w:pPr>
        <w:rPr>
          <w:rFonts w:ascii="Arial" w:hAnsi="Arial" w:cs="Arial"/>
          <w:sz w:val="22"/>
        </w:rPr>
      </w:pPr>
      <w:r>
        <w:rPr>
          <w:rFonts w:ascii="Arial" w:hAnsi="Arial" w:cs="Arial"/>
          <w:sz w:val="22"/>
        </w:rPr>
        <w:t>Amounts set aside in the accounts for the purpose of meeting future expenditure. A distinction is drawn between reserves and provisions which are set up to meet known liabilities.</w:t>
      </w:r>
    </w:p>
    <w:p w:rsidR="00CE6B36" w:rsidRDefault="00CE6B36" w:rsidP="00CE6B36">
      <w:pPr>
        <w:rPr>
          <w:rFonts w:ascii="Arial" w:hAnsi="Arial" w:cs="Arial"/>
          <w:sz w:val="22"/>
        </w:rPr>
      </w:pPr>
    </w:p>
    <w:p w:rsidR="00CE6B36" w:rsidRPr="00F81A3A" w:rsidRDefault="00CE6B36" w:rsidP="00CE6B36">
      <w:pPr>
        <w:rPr>
          <w:rFonts w:ascii="Arial" w:hAnsi="Arial" w:cs="Arial"/>
          <w:color w:val="000080"/>
          <w:sz w:val="22"/>
        </w:rPr>
      </w:pPr>
      <w:r>
        <w:rPr>
          <w:rFonts w:ascii="Arial" w:hAnsi="Arial" w:cs="Arial"/>
          <w:color w:val="000080"/>
          <w:sz w:val="22"/>
        </w:rPr>
        <w:t>Revenue Expenditure</w:t>
      </w:r>
    </w:p>
    <w:p w:rsidR="00CE6B36" w:rsidRDefault="00CE6B36" w:rsidP="00CE6B36">
      <w:pPr>
        <w:rPr>
          <w:rFonts w:ascii="Arial" w:hAnsi="Arial" w:cs="Arial"/>
          <w:sz w:val="22"/>
        </w:rPr>
      </w:pPr>
      <w:proofErr w:type="gramStart"/>
      <w:r>
        <w:rPr>
          <w:rFonts w:ascii="Arial" w:hAnsi="Arial" w:cs="Arial"/>
          <w:sz w:val="22"/>
        </w:rPr>
        <w:t>Spending on day to day items including employee’s pay, premises costs and supplies and services.</w:t>
      </w:r>
      <w:proofErr w:type="gramEnd"/>
    </w:p>
    <w:p w:rsidR="00CE6B36" w:rsidRDefault="00CE6B36" w:rsidP="00CE6B36">
      <w:pPr>
        <w:rPr>
          <w:rFonts w:ascii="Arial" w:hAnsi="Arial" w:cs="Arial"/>
          <w:sz w:val="22"/>
        </w:rPr>
      </w:pPr>
    </w:p>
    <w:p w:rsidR="00CE6B36" w:rsidRDefault="00CE6B36" w:rsidP="00CE6B36">
      <w:pPr>
        <w:rPr>
          <w:rFonts w:ascii="Arial" w:hAnsi="Arial" w:cs="Arial"/>
          <w:color w:val="000080"/>
          <w:sz w:val="22"/>
        </w:rPr>
      </w:pPr>
      <w:r>
        <w:rPr>
          <w:rFonts w:ascii="Arial" w:hAnsi="Arial" w:cs="Arial"/>
          <w:color w:val="000080"/>
          <w:sz w:val="22"/>
        </w:rPr>
        <w:t>Revenue Expenditure funded from capital under statute</w:t>
      </w:r>
    </w:p>
    <w:p w:rsidR="00CE6B36" w:rsidRDefault="00CE6B36" w:rsidP="00CE6B36">
      <w:pPr>
        <w:rPr>
          <w:rFonts w:ascii="Arial" w:hAnsi="Arial" w:cs="Arial"/>
          <w:sz w:val="22"/>
        </w:rPr>
      </w:pPr>
      <w:r>
        <w:rPr>
          <w:rFonts w:ascii="Arial" w:hAnsi="Arial" w:cs="Arial"/>
          <w:sz w:val="22"/>
        </w:rPr>
        <w:t>Capital expenditure for which there is no tangible asset, for example renovation grants.</w:t>
      </w:r>
    </w:p>
    <w:p w:rsidR="00CE6B36" w:rsidRDefault="00CE6B36" w:rsidP="00CE6B36">
      <w:pPr>
        <w:rPr>
          <w:rFonts w:ascii="Arial" w:hAnsi="Arial" w:cs="Arial"/>
          <w:color w:val="000080"/>
          <w:sz w:val="22"/>
        </w:rPr>
      </w:pPr>
    </w:p>
    <w:p w:rsidR="00CE6B36" w:rsidRDefault="00CE6B36" w:rsidP="00CE6B36">
      <w:pPr>
        <w:rPr>
          <w:rFonts w:ascii="Arial" w:hAnsi="Arial" w:cs="Arial"/>
          <w:color w:val="000080"/>
          <w:sz w:val="22"/>
        </w:rPr>
      </w:pPr>
      <w:r>
        <w:rPr>
          <w:rFonts w:ascii="Arial" w:hAnsi="Arial" w:cs="Arial"/>
          <w:color w:val="000080"/>
          <w:sz w:val="22"/>
        </w:rPr>
        <w:t>Revenue Support Grant</w:t>
      </w:r>
    </w:p>
    <w:p w:rsidR="00CE6B36" w:rsidRDefault="00CE6B36" w:rsidP="00CE6B36">
      <w:pPr>
        <w:rPr>
          <w:rFonts w:ascii="Arial" w:hAnsi="Arial" w:cs="Arial"/>
          <w:sz w:val="22"/>
        </w:rPr>
      </w:pPr>
      <w:r>
        <w:rPr>
          <w:rFonts w:ascii="Arial" w:hAnsi="Arial" w:cs="Arial"/>
          <w:sz w:val="22"/>
        </w:rPr>
        <w:t>The main grant paid by central government to a local authority towards the costs of its services.</w:t>
      </w:r>
    </w:p>
    <w:p w:rsidR="00CE6B36" w:rsidRDefault="00CE6B36" w:rsidP="00CE6B36">
      <w:pPr>
        <w:rPr>
          <w:rFonts w:ascii="Arial" w:hAnsi="Arial" w:cs="Arial"/>
          <w:color w:val="000080"/>
          <w:sz w:val="22"/>
        </w:rPr>
      </w:pPr>
    </w:p>
    <w:p w:rsidR="00CE6B36" w:rsidRDefault="00CE6B36" w:rsidP="00CE6B36">
      <w:pPr>
        <w:rPr>
          <w:rFonts w:ascii="Arial" w:hAnsi="Arial" w:cs="Arial"/>
          <w:color w:val="000080"/>
          <w:sz w:val="22"/>
        </w:rPr>
      </w:pPr>
    </w:p>
    <w:p w:rsidR="00CE6B36" w:rsidRDefault="00CE6B36" w:rsidP="00CE6B36">
      <w:pPr>
        <w:rPr>
          <w:rFonts w:ascii="Arial" w:hAnsi="Arial" w:cs="Arial"/>
          <w:color w:val="000080"/>
          <w:sz w:val="22"/>
        </w:rPr>
      </w:pPr>
    </w:p>
    <w:p w:rsidR="00CE6B36" w:rsidRDefault="00CE6B36" w:rsidP="00CE6B36">
      <w:pPr>
        <w:rPr>
          <w:rFonts w:ascii="Arial" w:hAnsi="Arial" w:cs="Arial"/>
          <w:sz w:val="22"/>
        </w:rPr>
      </w:pPr>
    </w:p>
    <w:p w:rsidR="00CE6B36" w:rsidRDefault="00CE6B36" w:rsidP="00CE6B36">
      <w:pPr>
        <w:rPr>
          <w:rFonts w:ascii="Arial" w:hAnsi="Arial" w:cs="Arial"/>
          <w:sz w:val="22"/>
        </w:rPr>
      </w:pPr>
    </w:p>
    <w:p w:rsidR="00CE6B36" w:rsidRPr="00CE6B36" w:rsidRDefault="00CE6B36" w:rsidP="00CE6B36">
      <w:pPr>
        <w:rPr>
          <w:rFonts w:ascii="Arial" w:hAnsi="Arial" w:cs="Arial"/>
          <w:sz w:val="22"/>
        </w:rPr>
        <w:sectPr w:rsidR="00CE6B36" w:rsidRPr="00CE6B36">
          <w:pgSz w:w="11907" w:h="16840" w:code="9"/>
          <w:pgMar w:top="1440" w:right="1418" w:bottom="1718" w:left="1814" w:header="720" w:footer="720" w:gutter="0"/>
          <w:cols w:space="720"/>
        </w:sectPr>
      </w:pPr>
    </w:p>
    <w:p w:rsidR="00CE6B36" w:rsidRDefault="00CE6B36">
      <w:pPr>
        <w:rPr>
          <w:rFonts w:ascii="Arial" w:hAnsi="Arial" w:cs="Arial"/>
          <w:sz w:val="22"/>
        </w:rPr>
      </w:pPr>
    </w:p>
    <w:p w:rsidR="00F23FFF" w:rsidRDefault="003552BC">
      <w:pPr>
        <w:rPr>
          <w:rFonts w:ascii="Arial" w:hAnsi="Arial" w:cs="Arial"/>
          <w:b/>
          <w:bCs/>
          <w:color w:val="000080"/>
          <w:sz w:val="28"/>
        </w:rPr>
      </w:pPr>
      <w:r>
        <w:rPr>
          <w:rFonts w:ascii="Arial" w:hAnsi="Arial" w:cs="Arial"/>
          <w:b/>
          <w:bCs/>
          <w:color w:val="000080"/>
          <w:sz w:val="28"/>
        </w:rPr>
        <w:t>Abbreviations used in the accounts</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CAA</w:t>
      </w:r>
    </w:p>
    <w:p w:rsidR="00F23FFF" w:rsidRDefault="003552BC">
      <w:pPr>
        <w:rPr>
          <w:rFonts w:ascii="Arial" w:hAnsi="Arial" w:cs="Arial"/>
          <w:sz w:val="22"/>
        </w:rPr>
      </w:pPr>
      <w:r>
        <w:rPr>
          <w:rFonts w:ascii="Arial" w:hAnsi="Arial" w:cs="Arial"/>
          <w:sz w:val="22"/>
        </w:rPr>
        <w:t>Capital Adjustment Account</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CIPFA</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Chartered Institute of Public Finance and Accountancy</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The Code</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Code of Practice on Local Authority Accounting</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DLO</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Direct Labour Organisation</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DSO</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Direct Service Organisation</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HRA</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Housing Revenue Account</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IFRS</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International Financial Reporting Standards</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IAS</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International Accounting Standards</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MRA</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Major Repair Allowance</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NNDR</w:t>
      </w:r>
    </w:p>
    <w:p w:rsidR="00F23FFF" w:rsidRDefault="00F23FFF">
      <w:pPr>
        <w:rPr>
          <w:rFonts w:ascii="Arial" w:hAnsi="Arial" w:cs="Arial"/>
          <w:sz w:val="22"/>
        </w:rPr>
      </w:pPr>
    </w:p>
    <w:p w:rsidR="00F23FFF" w:rsidRDefault="003552BC">
      <w:pPr>
        <w:rPr>
          <w:rFonts w:ascii="Arial" w:hAnsi="Arial" w:cs="Arial"/>
          <w:sz w:val="22"/>
        </w:rPr>
      </w:pPr>
      <w:r>
        <w:rPr>
          <w:rFonts w:ascii="Arial" w:hAnsi="Arial" w:cs="Arial"/>
          <w:sz w:val="22"/>
        </w:rPr>
        <w:t>National Non-Domestic Rates (Business Rates)</w:t>
      </w:r>
    </w:p>
    <w:p w:rsidR="00F23FFF" w:rsidRDefault="00F23FFF">
      <w:pPr>
        <w:rPr>
          <w:rFonts w:ascii="Arial" w:hAnsi="Arial" w:cs="Arial"/>
          <w:sz w:val="22"/>
        </w:rPr>
      </w:pPr>
    </w:p>
    <w:p w:rsidR="00F23FFF" w:rsidRDefault="003552BC">
      <w:pPr>
        <w:rPr>
          <w:rFonts w:ascii="Arial" w:hAnsi="Arial" w:cs="Arial"/>
          <w:color w:val="000080"/>
          <w:sz w:val="22"/>
        </w:rPr>
      </w:pPr>
      <w:r>
        <w:rPr>
          <w:rFonts w:ascii="Arial" w:hAnsi="Arial" w:cs="Arial"/>
          <w:color w:val="000080"/>
          <w:sz w:val="22"/>
        </w:rPr>
        <w:t>RR</w:t>
      </w:r>
    </w:p>
    <w:p w:rsidR="00F23FFF" w:rsidRDefault="003552BC">
      <w:pPr>
        <w:rPr>
          <w:rFonts w:ascii="Arial" w:hAnsi="Arial" w:cs="Arial"/>
          <w:sz w:val="22"/>
        </w:rPr>
      </w:pPr>
      <w:r>
        <w:rPr>
          <w:rFonts w:ascii="Arial" w:hAnsi="Arial" w:cs="Arial"/>
          <w:sz w:val="22"/>
        </w:rPr>
        <w:t>Revaluation Reserve</w:t>
      </w:r>
    </w:p>
    <w:p w:rsidR="00F23FFF" w:rsidRDefault="00F23FFF">
      <w:pPr>
        <w:rPr>
          <w:rFonts w:ascii="Arial" w:hAnsi="Arial" w:cs="Arial"/>
          <w:color w:val="000080"/>
          <w:sz w:val="22"/>
        </w:rPr>
      </w:pPr>
    </w:p>
    <w:p w:rsidR="003552BC" w:rsidRDefault="003552BC">
      <w:pPr>
        <w:rPr>
          <w:rFonts w:ascii="Arial" w:hAnsi="Arial" w:cs="Arial"/>
          <w:sz w:val="22"/>
        </w:rPr>
      </w:pPr>
    </w:p>
    <w:sectPr w:rsidR="003552BC">
      <w:pgSz w:w="11907" w:h="16840" w:code="9"/>
      <w:pgMar w:top="1134" w:right="1134" w:bottom="17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CA1" w:rsidRDefault="00011CA1">
      <w:r>
        <w:separator/>
      </w:r>
    </w:p>
  </w:endnote>
  <w:endnote w:type="continuationSeparator" w:id="0">
    <w:p w:rsidR="00011CA1" w:rsidRDefault="0001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wiss721BT-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E33C5" w:rsidRDefault="005E33C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Footer"/>
      <w:framePr w:wrap="around" w:vAnchor="text" w:hAnchor="margin" w:xAlign="center" w:y="1"/>
      <w:rPr>
        <w:rStyle w:val="PageNumber"/>
      </w:rPr>
    </w:pPr>
  </w:p>
  <w:p w:rsidR="005E33C5" w:rsidRDefault="005E33C5">
    <w:pPr>
      <w:pStyle w:val="Footer"/>
    </w:pPr>
    <w:r>
      <w:tab/>
    </w:r>
    <w:r>
      <w:rPr>
        <w:rStyle w:val="PageNumber"/>
      </w:rPr>
      <w:fldChar w:fldCharType="begin"/>
    </w:r>
    <w:r>
      <w:rPr>
        <w:rStyle w:val="PageNumber"/>
      </w:rPr>
      <w:instrText xml:space="preserve"> PAGE </w:instrText>
    </w:r>
    <w:r>
      <w:rPr>
        <w:rStyle w:val="PageNumber"/>
      </w:rPr>
      <w:fldChar w:fldCharType="separate"/>
    </w:r>
    <w:r w:rsidR="00406569">
      <w:rPr>
        <w:rStyle w:val="PageNumber"/>
        <w:noProof/>
      </w:rPr>
      <w:t>15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E33C5" w:rsidRDefault="005E33C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6569">
      <w:rPr>
        <w:rStyle w:val="PageNumber"/>
        <w:noProof/>
      </w:rPr>
      <w:t>16</w:t>
    </w:r>
    <w:r>
      <w:rPr>
        <w:rStyle w:val="PageNumber"/>
      </w:rPr>
      <w:fldChar w:fldCharType="end"/>
    </w:r>
  </w:p>
  <w:p w:rsidR="005E33C5" w:rsidRDefault="005E33C5">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CA1" w:rsidRDefault="00011CA1">
      <w:r>
        <w:separator/>
      </w:r>
    </w:p>
  </w:footnote>
  <w:footnote w:type="continuationSeparator" w:id="0">
    <w:p w:rsidR="00011CA1" w:rsidRDefault="00011C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Pr="0085398C" w:rsidRDefault="005E33C5">
    <w:pPr>
      <w:pStyle w:val="Header"/>
      <w:jc w:val="right"/>
      <w:rPr>
        <w:b/>
        <w:bCs/>
        <w:color w:val="3333FF"/>
      </w:rPr>
    </w:pPr>
    <w:r w:rsidRPr="0085398C">
      <w:rPr>
        <w:b/>
        <w:bCs/>
        <w:color w:val="3333FF"/>
      </w:rPr>
      <w:t>SOUTH CAMBRIDGESHIRE DISTRICT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Header"/>
      <w:jc w:val="center"/>
      <w:rPr>
        <w:color w:val="0000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Header"/>
      <w:jc w:val="right"/>
      <w:rPr>
        <w:color w:val="0000FF"/>
      </w:rPr>
    </w:pPr>
    <w:r>
      <w:rPr>
        <w:color w:val="0000FF"/>
      </w:rPr>
      <w:t>SOUTH CAMBRIDGESHIRE DISTRICT COUNCIL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Header"/>
      <w:jc w:val="center"/>
      <w:rPr>
        <w:color w:val="0000F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C5" w:rsidRDefault="005E33C5">
    <w:pPr>
      <w:pStyle w:val="Header"/>
      <w:jc w:val="right"/>
      <w:rPr>
        <w:rFonts w:ascii="Arial" w:hAnsi="Arial" w:cs="Arial"/>
        <w:color w:val="000080"/>
        <w:sz w:val="22"/>
      </w:rPr>
    </w:pPr>
    <w:r>
      <w:rPr>
        <w:rFonts w:ascii="Arial" w:hAnsi="Arial" w:cs="Arial"/>
        <w:color w:val="000080"/>
        <w:sz w:val="22"/>
      </w:rPr>
      <w:t>South Cambridgeshire District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501"/>
    <w:multiLevelType w:val="hybridMultilevel"/>
    <w:tmpl w:val="2C5AF6BA"/>
    <w:lvl w:ilvl="0" w:tplc="319A1A5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471942"/>
    <w:multiLevelType w:val="hybridMultilevel"/>
    <w:tmpl w:val="E2C0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9D7571"/>
    <w:multiLevelType w:val="hybridMultilevel"/>
    <w:tmpl w:val="9B6C1B3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Times New Roman"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Times New Roman"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Times New Roman" w:hint="default"/>
      </w:rPr>
    </w:lvl>
    <w:lvl w:ilvl="8" w:tplc="08090005">
      <w:start w:val="1"/>
      <w:numFmt w:val="bullet"/>
      <w:lvlText w:val=""/>
      <w:lvlJc w:val="left"/>
      <w:pPr>
        <w:ind w:left="7047" w:hanging="360"/>
      </w:pPr>
      <w:rPr>
        <w:rFonts w:ascii="Wingdings" w:hAnsi="Wingdings" w:hint="default"/>
      </w:rPr>
    </w:lvl>
  </w:abstractNum>
  <w:abstractNum w:abstractNumId="3">
    <w:nsid w:val="091A60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A4073B8"/>
    <w:multiLevelType w:val="hybridMultilevel"/>
    <w:tmpl w:val="B9BE35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nsid w:val="1539631A"/>
    <w:multiLevelType w:val="hybridMultilevel"/>
    <w:tmpl w:val="374A715E"/>
    <w:lvl w:ilvl="0" w:tplc="319A1A5A">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nsid w:val="174A1544"/>
    <w:multiLevelType w:val="hybridMultilevel"/>
    <w:tmpl w:val="3772578C"/>
    <w:lvl w:ilvl="0" w:tplc="85C2EC8E">
      <w:start w:val="1"/>
      <w:numFmt w:val="bullet"/>
      <w:pStyle w:val="Bullet1"/>
      <w:lvlText w:val=""/>
      <w:lvlJc w:val="left"/>
      <w:pPr>
        <w:tabs>
          <w:tab w:val="num" w:pos="1928"/>
        </w:tabs>
        <w:ind w:left="1928" w:hanging="964"/>
      </w:pPr>
      <w:rPr>
        <w:rFonts w:ascii="Wingdings" w:hAnsi="Wingdings" w:hint="default"/>
      </w:rPr>
    </w:lvl>
    <w:lvl w:ilvl="1" w:tplc="04090005">
      <w:start w:val="1"/>
      <w:numFmt w:val="bullet"/>
      <w:lvlText w:val=""/>
      <w:lvlJc w:val="left"/>
      <w:pPr>
        <w:tabs>
          <w:tab w:val="num" w:pos="2404"/>
        </w:tabs>
        <w:ind w:left="2404" w:hanging="360"/>
      </w:pPr>
      <w:rPr>
        <w:rFonts w:ascii="Wingdings" w:hAnsi="Wingdings" w:hint="default"/>
      </w:rPr>
    </w:lvl>
    <w:lvl w:ilvl="2" w:tplc="04090005" w:tentative="1">
      <w:start w:val="1"/>
      <w:numFmt w:val="bullet"/>
      <w:lvlText w:val=""/>
      <w:lvlJc w:val="left"/>
      <w:pPr>
        <w:tabs>
          <w:tab w:val="num" w:pos="3124"/>
        </w:tabs>
        <w:ind w:left="3124" w:hanging="360"/>
      </w:pPr>
      <w:rPr>
        <w:rFonts w:ascii="Wingdings" w:hAnsi="Wingdings" w:hint="default"/>
      </w:rPr>
    </w:lvl>
    <w:lvl w:ilvl="3" w:tplc="04090001" w:tentative="1">
      <w:start w:val="1"/>
      <w:numFmt w:val="bullet"/>
      <w:lvlText w:val=""/>
      <w:lvlJc w:val="left"/>
      <w:pPr>
        <w:tabs>
          <w:tab w:val="num" w:pos="3844"/>
        </w:tabs>
        <w:ind w:left="3844" w:hanging="360"/>
      </w:pPr>
      <w:rPr>
        <w:rFonts w:ascii="Symbol" w:hAnsi="Symbol" w:hint="default"/>
      </w:rPr>
    </w:lvl>
    <w:lvl w:ilvl="4" w:tplc="04090003" w:tentative="1">
      <w:start w:val="1"/>
      <w:numFmt w:val="bullet"/>
      <w:lvlText w:val="o"/>
      <w:lvlJc w:val="left"/>
      <w:pPr>
        <w:tabs>
          <w:tab w:val="num" w:pos="4564"/>
        </w:tabs>
        <w:ind w:left="4564" w:hanging="360"/>
      </w:pPr>
      <w:rPr>
        <w:rFonts w:ascii="Courier New" w:hAnsi="Courier New" w:hint="default"/>
      </w:rPr>
    </w:lvl>
    <w:lvl w:ilvl="5" w:tplc="04090005" w:tentative="1">
      <w:start w:val="1"/>
      <w:numFmt w:val="bullet"/>
      <w:lvlText w:val=""/>
      <w:lvlJc w:val="left"/>
      <w:pPr>
        <w:tabs>
          <w:tab w:val="num" w:pos="5284"/>
        </w:tabs>
        <w:ind w:left="5284" w:hanging="360"/>
      </w:pPr>
      <w:rPr>
        <w:rFonts w:ascii="Wingdings" w:hAnsi="Wingdings" w:hint="default"/>
      </w:rPr>
    </w:lvl>
    <w:lvl w:ilvl="6" w:tplc="04090001" w:tentative="1">
      <w:start w:val="1"/>
      <w:numFmt w:val="bullet"/>
      <w:lvlText w:val=""/>
      <w:lvlJc w:val="left"/>
      <w:pPr>
        <w:tabs>
          <w:tab w:val="num" w:pos="6004"/>
        </w:tabs>
        <w:ind w:left="6004" w:hanging="360"/>
      </w:pPr>
      <w:rPr>
        <w:rFonts w:ascii="Symbol" w:hAnsi="Symbol" w:hint="default"/>
      </w:rPr>
    </w:lvl>
    <w:lvl w:ilvl="7" w:tplc="04090003" w:tentative="1">
      <w:start w:val="1"/>
      <w:numFmt w:val="bullet"/>
      <w:lvlText w:val="o"/>
      <w:lvlJc w:val="left"/>
      <w:pPr>
        <w:tabs>
          <w:tab w:val="num" w:pos="6724"/>
        </w:tabs>
        <w:ind w:left="6724" w:hanging="360"/>
      </w:pPr>
      <w:rPr>
        <w:rFonts w:ascii="Courier New" w:hAnsi="Courier New" w:hint="default"/>
      </w:rPr>
    </w:lvl>
    <w:lvl w:ilvl="8" w:tplc="04090005" w:tentative="1">
      <w:start w:val="1"/>
      <w:numFmt w:val="bullet"/>
      <w:lvlText w:val=""/>
      <w:lvlJc w:val="left"/>
      <w:pPr>
        <w:tabs>
          <w:tab w:val="num" w:pos="7444"/>
        </w:tabs>
        <w:ind w:left="7444" w:hanging="360"/>
      </w:pPr>
      <w:rPr>
        <w:rFonts w:ascii="Wingdings" w:hAnsi="Wingdings" w:hint="default"/>
      </w:rPr>
    </w:lvl>
  </w:abstractNum>
  <w:abstractNum w:abstractNumId="7">
    <w:nsid w:val="1A8F144D"/>
    <w:multiLevelType w:val="hybridMultilevel"/>
    <w:tmpl w:val="059C88D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8205B1"/>
    <w:multiLevelType w:val="hybridMultilevel"/>
    <w:tmpl w:val="F6A8127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44157E"/>
    <w:multiLevelType w:val="hybridMultilevel"/>
    <w:tmpl w:val="BE648C54"/>
    <w:lvl w:ilvl="0" w:tplc="319A1A5A">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nsid w:val="2D4B4732"/>
    <w:multiLevelType w:val="hybridMultilevel"/>
    <w:tmpl w:val="EF66D70A"/>
    <w:lvl w:ilvl="0" w:tplc="721CFC34">
      <w:start w:val="35"/>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1">
    <w:nsid w:val="3006031B"/>
    <w:multiLevelType w:val="hybridMultilevel"/>
    <w:tmpl w:val="A3346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5611C0"/>
    <w:multiLevelType w:val="hybridMultilevel"/>
    <w:tmpl w:val="095A0A98"/>
    <w:lvl w:ilvl="0" w:tplc="319A1A5A">
      <w:start w:val="1"/>
      <w:numFmt w:val="bullet"/>
      <w:lvlText w:val=""/>
      <w:lvlJc w:val="left"/>
      <w:pPr>
        <w:tabs>
          <w:tab w:val="num" w:pos="1080"/>
        </w:tabs>
        <w:ind w:left="1080" w:hanging="360"/>
      </w:pPr>
      <w:rPr>
        <w:rFonts w:ascii="Symbol" w:hAnsi="Symbol" w:hint="default"/>
      </w:rPr>
    </w:lvl>
    <w:lvl w:ilvl="1" w:tplc="FDCC305E">
      <w:start w:val="1"/>
      <w:numFmt w:val="lowerRoman"/>
      <w:lvlText w:val="%2."/>
      <w:lvlJc w:val="right"/>
      <w:pPr>
        <w:tabs>
          <w:tab w:val="num" w:pos="748"/>
        </w:tabs>
        <w:ind w:left="748" w:hanging="180"/>
      </w:pPr>
      <w:rPr>
        <w:rFonts w:hint="default"/>
      </w:rPr>
    </w:lvl>
    <w:lvl w:ilvl="2" w:tplc="C5725062">
      <w:start w:val="2"/>
      <w:numFmt w:val="decimal"/>
      <w:lvlText w:val="%3"/>
      <w:lvlJc w:val="left"/>
      <w:pPr>
        <w:tabs>
          <w:tab w:val="num" w:pos="2520"/>
        </w:tabs>
        <w:ind w:left="2520" w:hanging="360"/>
      </w:pPr>
      <w:rPr>
        <w:rFont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39117D02"/>
    <w:multiLevelType w:val="hybridMultilevel"/>
    <w:tmpl w:val="141E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4A1623"/>
    <w:multiLevelType w:val="hybridMultilevel"/>
    <w:tmpl w:val="E00A6BB6"/>
    <w:lvl w:ilvl="0" w:tplc="B2D89FA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0A36F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435302E6"/>
    <w:multiLevelType w:val="hybridMultilevel"/>
    <w:tmpl w:val="D826D458"/>
    <w:lvl w:ilvl="0" w:tplc="62FA76CA">
      <w:start w:val="5"/>
      <w:numFmt w:val="lowerLetter"/>
      <w:lvlText w:val="%1."/>
      <w:lvlJc w:val="left"/>
      <w:pPr>
        <w:tabs>
          <w:tab w:val="num" w:pos="720"/>
        </w:tabs>
        <w:ind w:left="720" w:hanging="360"/>
      </w:pPr>
      <w:rPr>
        <w:rFonts w:hint="default"/>
        <w:sz w:val="24"/>
      </w:rPr>
    </w:lvl>
    <w:lvl w:ilvl="1" w:tplc="D32834F4">
      <w:start w:val="39"/>
      <w:numFmt w:val="decimal"/>
      <w:lvlText w:val="%2"/>
      <w:lvlJc w:val="left"/>
      <w:pPr>
        <w:tabs>
          <w:tab w:val="num" w:pos="1440"/>
        </w:tabs>
        <w:ind w:left="1440" w:hanging="360"/>
      </w:pPr>
      <w:rPr>
        <w:rFonts w:hint="default"/>
        <w:b w:val="0"/>
        <w:color w:val="auto"/>
        <w:sz w:val="22"/>
      </w:rPr>
    </w:lvl>
    <w:lvl w:ilvl="2" w:tplc="F2183144">
      <w:start w:val="1"/>
      <w:numFmt w:val="decimal"/>
      <w:lvlText w:val="%3."/>
      <w:lvlJc w:val="left"/>
      <w:pPr>
        <w:tabs>
          <w:tab w:val="num" w:pos="2340"/>
        </w:tabs>
        <w:ind w:left="2340" w:hanging="360"/>
      </w:pPr>
      <w:rPr>
        <w:rFonts w:hint="default"/>
      </w:rPr>
    </w:lvl>
    <w:lvl w:ilvl="3" w:tplc="D44E5CAC">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AF54D02"/>
    <w:multiLevelType w:val="hybridMultilevel"/>
    <w:tmpl w:val="05004F06"/>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C272D6C"/>
    <w:multiLevelType w:val="multilevel"/>
    <w:tmpl w:val="A6B85DD0"/>
    <w:lvl w:ilvl="0">
      <w:start w:val="1"/>
      <w:numFmt w:val="lowerLetter"/>
      <w:lvlText w:val="%1)"/>
      <w:lvlJc w:val="left"/>
      <w:pPr>
        <w:tabs>
          <w:tab w:val="num" w:pos="360"/>
        </w:tabs>
        <w:ind w:left="360" w:hanging="360"/>
      </w:pPr>
      <w:rPr>
        <w:rFonts w:hint="default"/>
      </w:rPr>
    </w:lvl>
    <w:lvl w:ilvl="1">
      <w:start w:val="2"/>
      <w:numFmt w:val="lowerRoman"/>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4CAE665D"/>
    <w:multiLevelType w:val="hybridMultilevel"/>
    <w:tmpl w:val="ACB2DE1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nsid w:val="4F6B0343"/>
    <w:multiLevelType w:val="hybridMultilevel"/>
    <w:tmpl w:val="AB48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9216F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559C7B7B"/>
    <w:multiLevelType w:val="hybridMultilevel"/>
    <w:tmpl w:val="47806022"/>
    <w:lvl w:ilvl="0" w:tplc="3CFE36A8">
      <w:start w:val="36"/>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3">
    <w:nsid w:val="55C062F7"/>
    <w:multiLevelType w:val="hybridMultilevel"/>
    <w:tmpl w:val="B23EA406"/>
    <w:lvl w:ilvl="0" w:tplc="319A1A5A">
      <w:start w:val="1"/>
      <w:numFmt w:val="bullet"/>
      <w:lvlText w:val=""/>
      <w:lvlJc w:val="left"/>
      <w:pPr>
        <w:tabs>
          <w:tab w:val="num" w:pos="1506"/>
        </w:tabs>
        <w:ind w:left="150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4">
    <w:nsid w:val="572856A6"/>
    <w:multiLevelType w:val="hybridMultilevel"/>
    <w:tmpl w:val="B1E64090"/>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8B2F60"/>
    <w:multiLevelType w:val="hybridMultilevel"/>
    <w:tmpl w:val="57745406"/>
    <w:lvl w:ilvl="0" w:tplc="04090017">
      <w:start w:val="9"/>
      <w:numFmt w:val="lowerLetter"/>
      <w:lvlText w:val="%1)"/>
      <w:lvlJc w:val="left"/>
      <w:pPr>
        <w:tabs>
          <w:tab w:val="num" w:pos="720"/>
        </w:tabs>
        <w:ind w:left="720" w:hanging="360"/>
      </w:pPr>
      <w:rPr>
        <w:rFonts w:hint="default"/>
      </w:rPr>
    </w:lvl>
    <w:lvl w:ilvl="1" w:tplc="8B1C4A9C">
      <w:start w:val="2"/>
      <w:numFmt w:val="lowerRoman"/>
      <w:lvlText w:val="%2)"/>
      <w:lvlJc w:val="left"/>
      <w:pPr>
        <w:tabs>
          <w:tab w:val="num" w:pos="1800"/>
        </w:tabs>
        <w:ind w:left="1800" w:hanging="720"/>
      </w:pPr>
      <w:rPr>
        <w:rFonts w:hint="default"/>
      </w:rPr>
    </w:lvl>
    <w:lvl w:ilvl="2" w:tplc="60AACD30">
      <w:start w:val="15"/>
      <w:numFmt w:val="decimal"/>
      <w:lvlText w:val="12."/>
      <w:lvlJc w:val="left"/>
      <w:pPr>
        <w:tabs>
          <w:tab w:val="num" w:pos="2700"/>
        </w:tabs>
        <w:ind w:left="2700" w:hanging="720"/>
      </w:pPr>
      <w:rPr>
        <w:rFonts w:hint="default"/>
      </w:rPr>
    </w:lvl>
    <w:lvl w:ilvl="3" w:tplc="B3A2D206">
      <w:start w:val="19"/>
      <w:numFmt w:val="decimal"/>
      <w:lvlText w:val="%4."/>
      <w:lvlJc w:val="left"/>
      <w:pPr>
        <w:tabs>
          <w:tab w:val="num" w:pos="2880"/>
        </w:tabs>
        <w:ind w:left="2880" w:hanging="360"/>
      </w:pPr>
      <w:rPr>
        <w:rFonts w:hint="default"/>
      </w:rPr>
    </w:lvl>
    <w:lvl w:ilvl="4" w:tplc="F70647D0">
      <w:start w:val="2"/>
      <w:numFmt w:val="lowerLetter"/>
      <w:lvlText w:val="%5."/>
      <w:lvlJc w:val="left"/>
      <w:pPr>
        <w:tabs>
          <w:tab w:val="num" w:pos="3600"/>
        </w:tabs>
        <w:ind w:left="3600" w:hanging="360"/>
      </w:pPr>
      <w:rPr>
        <w:rFonts w:hint="default"/>
        <w:sz w:val="24"/>
      </w:rPr>
    </w:lvl>
    <w:lvl w:ilvl="5" w:tplc="F46EC4CC">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220C20"/>
    <w:multiLevelType w:val="hybridMultilevel"/>
    <w:tmpl w:val="2FCE39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nsid w:val="6AD7034A"/>
    <w:multiLevelType w:val="hybridMultilevel"/>
    <w:tmpl w:val="2810353C"/>
    <w:lvl w:ilvl="0" w:tplc="5AE6A8DA">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8">
    <w:nsid w:val="6CB94A22"/>
    <w:multiLevelType w:val="hybridMultilevel"/>
    <w:tmpl w:val="95A6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9563AD"/>
    <w:multiLevelType w:val="hybridMultilevel"/>
    <w:tmpl w:val="1BB43C4A"/>
    <w:lvl w:ilvl="0" w:tplc="319A1A5A">
      <w:start w:val="1"/>
      <w:numFmt w:val="bullet"/>
      <w:lvlText w:val=""/>
      <w:lvlJc w:val="left"/>
      <w:pPr>
        <w:tabs>
          <w:tab w:val="num" w:pos="1080"/>
        </w:tabs>
        <w:ind w:left="1080" w:hanging="360"/>
      </w:pPr>
      <w:rPr>
        <w:rFonts w:ascii="Symbol" w:hAnsi="Symbol" w:hint="default"/>
      </w:rPr>
    </w:lvl>
    <w:lvl w:ilvl="1" w:tplc="3B5C9BE8">
      <w:numFmt w:val="bullet"/>
      <w:lvlText w:val="-"/>
      <w:lvlJc w:val="left"/>
      <w:pPr>
        <w:tabs>
          <w:tab w:val="num" w:pos="1495"/>
        </w:tabs>
        <w:ind w:left="1495" w:hanging="360"/>
      </w:pPr>
      <w:rPr>
        <w:rFonts w:ascii="Times New Roman" w:eastAsia="Times New Roman" w:hAnsi="Times New Roman" w:cs="Times New Roman" w:hint="default"/>
      </w:rPr>
    </w:lvl>
    <w:lvl w:ilvl="2" w:tplc="319A1A5A">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3BD5BAC"/>
    <w:multiLevelType w:val="hybridMultilevel"/>
    <w:tmpl w:val="39840350"/>
    <w:lvl w:ilvl="0" w:tplc="04090001">
      <w:start w:val="1"/>
      <w:numFmt w:val="bullet"/>
      <w:lvlText w:val=""/>
      <w:lvlJc w:val="left"/>
      <w:pPr>
        <w:tabs>
          <w:tab w:val="num" w:pos="135"/>
        </w:tabs>
        <w:ind w:left="135" w:hanging="360"/>
      </w:pPr>
      <w:rPr>
        <w:rFonts w:ascii="Symbol" w:hAnsi="Symbol" w:hint="default"/>
      </w:rPr>
    </w:lvl>
    <w:lvl w:ilvl="1" w:tplc="04090003" w:tentative="1">
      <w:start w:val="1"/>
      <w:numFmt w:val="bullet"/>
      <w:lvlText w:val="o"/>
      <w:lvlJc w:val="left"/>
      <w:pPr>
        <w:tabs>
          <w:tab w:val="num" w:pos="855"/>
        </w:tabs>
        <w:ind w:left="855" w:hanging="360"/>
      </w:pPr>
      <w:rPr>
        <w:rFonts w:ascii="Courier New" w:hAnsi="Courier New" w:hint="default"/>
      </w:rPr>
    </w:lvl>
    <w:lvl w:ilvl="2" w:tplc="04090005" w:tentative="1">
      <w:start w:val="1"/>
      <w:numFmt w:val="bullet"/>
      <w:lvlText w:val=""/>
      <w:lvlJc w:val="left"/>
      <w:pPr>
        <w:tabs>
          <w:tab w:val="num" w:pos="1575"/>
        </w:tabs>
        <w:ind w:left="1575" w:hanging="360"/>
      </w:pPr>
      <w:rPr>
        <w:rFonts w:ascii="Wingdings" w:hAnsi="Wingdings" w:hint="default"/>
      </w:rPr>
    </w:lvl>
    <w:lvl w:ilvl="3" w:tplc="04090001" w:tentative="1">
      <w:start w:val="1"/>
      <w:numFmt w:val="bullet"/>
      <w:lvlText w:val=""/>
      <w:lvlJc w:val="left"/>
      <w:pPr>
        <w:tabs>
          <w:tab w:val="num" w:pos="2295"/>
        </w:tabs>
        <w:ind w:left="2295" w:hanging="360"/>
      </w:pPr>
      <w:rPr>
        <w:rFonts w:ascii="Symbol" w:hAnsi="Symbol" w:hint="default"/>
      </w:rPr>
    </w:lvl>
    <w:lvl w:ilvl="4" w:tplc="04090003" w:tentative="1">
      <w:start w:val="1"/>
      <w:numFmt w:val="bullet"/>
      <w:lvlText w:val="o"/>
      <w:lvlJc w:val="left"/>
      <w:pPr>
        <w:tabs>
          <w:tab w:val="num" w:pos="3015"/>
        </w:tabs>
        <w:ind w:left="3015" w:hanging="360"/>
      </w:pPr>
      <w:rPr>
        <w:rFonts w:ascii="Courier New" w:hAnsi="Courier New" w:hint="default"/>
      </w:rPr>
    </w:lvl>
    <w:lvl w:ilvl="5" w:tplc="04090005" w:tentative="1">
      <w:start w:val="1"/>
      <w:numFmt w:val="bullet"/>
      <w:lvlText w:val=""/>
      <w:lvlJc w:val="left"/>
      <w:pPr>
        <w:tabs>
          <w:tab w:val="num" w:pos="3735"/>
        </w:tabs>
        <w:ind w:left="3735" w:hanging="360"/>
      </w:pPr>
      <w:rPr>
        <w:rFonts w:ascii="Wingdings" w:hAnsi="Wingdings" w:hint="default"/>
      </w:rPr>
    </w:lvl>
    <w:lvl w:ilvl="6" w:tplc="04090001" w:tentative="1">
      <w:start w:val="1"/>
      <w:numFmt w:val="bullet"/>
      <w:lvlText w:val=""/>
      <w:lvlJc w:val="left"/>
      <w:pPr>
        <w:tabs>
          <w:tab w:val="num" w:pos="4455"/>
        </w:tabs>
        <w:ind w:left="4455" w:hanging="360"/>
      </w:pPr>
      <w:rPr>
        <w:rFonts w:ascii="Symbol" w:hAnsi="Symbol" w:hint="default"/>
      </w:rPr>
    </w:lvl>
    <w:lvl w:ilvl="7" w:tplc="04090003" w:tentative="1">
      <w:start w:val="1"/>
      <w:numFmt w:val="bullet"/>
      <w:lvlText w:val="o"/>
      <w:lvlJc w:val="left"/>
      <w:pPr>
        <w:tabs>
          <w:tab w:val="num" w:pos="5175"/>
        </w:tabs>
        <w:ind w:left="5175" w:hanging="360"/>
      </w:pPr>
      <w:rPr>
        <w:rFonts w:ascii="Courier New" w:hAnsi="Courier New" w:hint="default"/>
      </w:rPr>
    </w:lvl>
    <w:lvl w:ilvl="8" w:tplc="04090005" w:tentative="1">
      <w:start w:val="1"/>
      <w:numFmt w:val="bullet"/>
      <w:lvlText w:val=""/>
      <w:lvlJc w:val="left"/>
      <w:pPr>
        <w:tabs>
          <w:tab w:val="num" w:pos="5895"/>
        </w:tabs>
        <w:ind w:left="5895" w:hanging="360"/>
      </w:pPr>
      <w:rPr>
        <w:rFonts w:ascii="Wingdings" w:hAnsi="Wingdings" w:hint="default"/>
      </w:rPr>
    </w:lvl>
  </w:abstractNum>
  <w:abstractNum w:abstractNumId="31">
    <w:nsid w:val="73BE162D"/>
    <w:multiLevelType w:val="hybridMultilevel"/>
    <w:tmpl w:val="D526D4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1"/>
  </w:num>
  <w:num w:numId="3">
    <w:abstractNumId w:val="15"/>
  </w:num>
  <w:num w:numId="4">
    <w:abstractNumId w:val="18"/>
  </w:num>
  <w:num w:numId="5">
    <w:abstractNumId w:val="25"/>
  </w:num>
  <w:num w:numId="6">
    <w:abstractNumId w:val="18"/>
    <w:lvlOverride w:ilvl="0">
      <w:startOverride w:val="9"/>
    </w:lvlOverride>
  </w:num>
  <w:num w:numId="7">
    <w:abstractNumId w:val="27"/>
  </w:num>
  <w:num w:numId="8">
    <w:abstractNumId w:val="8"/>
  </w:num>
  <w:num w:numId="9">
    <w:abstractNumId w:val="31"/>
  </w:num>
  <w:num w:numId="10">
    <w:abstractNumId w:val="7"/>
  </w:num>
  <w:num w:numId="11">
    <w:abstractNumId w:val="6"/>
  </w:num>
  <w:num w:numId="12">
    <w:abstractNumId w:val="11"/>
  </w:num>
  <w:num w:numId="13">
    <w:abstractNumId w:val="5"/>
  </w:num>
  <w:num w:numId="14">
    <w:abstractNumId w:val="12"/>
  </w:num>
  <w:num w:numId="15">
    <w:abstractNumId w:val="9"/>
  </w:num>
  <w:num w:numId="16">
    <w:abstractNumId w:val="23"/>
  </w:num>
  <w:num w:numId="17">
    <w:abstractNumId w:val="0"/>
  </w:num>
  <w:num w:numId="18">
    <w:abstractNumId w:val="29"/>
  </w:num>
  <w:num w:numId="19">
    <w:abstractNumId w:val="16"/>
  </w:num>
  <w:num w:numId="20">
    <w:abstractNumId w:val="30"/>
  </w:num>
  <w:num w:numId="21">
    <w:abstractNumId w:val="10"/>
  </w:num>
  <w:num w:numId="22">
    <w:abstractNumId w:val="14"/>
  </w:num>
  <w:num w:numId="23">
    <w:abstractNumId w:val="13"/>
  </w:num>
  <w:num w:numId="24">
    <w:abstractNumId w:val="24"/>
  </w:num>
  <w:num w:numId="25">
    <w:abstractNumId w:val="20"/>
  </w:num>
  <w:num w:numId="26">
    <w:abstractNumId w:val="1"/>
  </w:num>
  <w:num w:numId="27">
    <w:abstractNumId w:val="17"/>
  </w:num>
  <w:num w:numId="28">
    <w:abstractNumId w:val="22"/>
  </w:num>
  <w:num w:numId="29">
    <w:abstractNumId w:val="19"/>
  </w:num>
  <w:num w:numId="30">
    <w:abstractNumId w:val="2"/>
  </w:num>
  <w:num w:numId="31">
    <w:abstractNumId w:val="26"/>
  </w:num>
  <w:num w:numId="32">
    <w:abstractNumId w:val="28"/>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8" w:dllVersion="513" w:checkStyle="1"/>
  <w:activeWritingStyle w:appName="MSWord" w:lang="en-US" w:vendorID="8" w:dllVersion="513" w:checkStyle="1"/>
  <w:proofState w:spelling="clean" w:grammar="clean"/>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41"/>
    <w:rsid w:val="00001F78"/>
    <w:rsid w:val="00003585"/>
    <w:rsid w:val="00006866"/>
    <w:rsid w:val="00011CA1"/>
    <w:rsid w:val="0001423A"/>
    <w:rsid w:val="000173B9"/>
    <w:rsid w:val="00022816"/>
    <w:rsid w:val="0002630E"/>
    <w:rsid w:val="00030DAF"/>
    <w:rsid w:val="000352B8"/>
    <w:rsid w:val="000463ED"/>
    <w:rsid w:val="000506E0"/>
    <w:rsid w:val="000511B6"/>
    <w:rsid w:val="00051E2F"/>
    <w:rsid w:val="0005209A"/>
    <w:rsid w:val="00056AFD"/>
    <w:rsid w:val="000673A6"/>
    <w:rsid w:val="00070046"/>
    <w:rsid w:val="000720FF"/>
    <w:rsid w:val="00076EAE"/>
    <w:rsid w:val="000804F3"/>
    <w:rsid w:val="000849D3"/>
    <w:rsid w:val="00091FB6"/>
    <w:rsid w:val="0009542B"/>
    <w:rsid w:val="00095905"/>
    <w:rsid w:val="00096A4D"/>
    <w:rsid w:val="000A0C0B"/>
    <w:rsid w:val="000A2BEE"/>
    <w:rsid w:val="000A4D90"/>
    <w:rsid w:val="000A55EE"/>
    <w:rsid w:val="000A5A1E"/>
    <w:rsid w:val="000A73B6"/>
    <w:rsid w:val="000A77CA"/>
    <w:rsid w:val="000B27E8"/>
    <w:rsid w:val="000C5A3D"/>
    <w:rsid w:val="000C6172"/>
    <w:rsid w:val="000C7110"/>
    <w:rsid w:val="000D3162"/>
    <w:rsid w:val="000D4F99"/>
    <w:rsid w:val="000E081C"/>
    <w:rsid w:val="000E1B41"/>
    <w:rsid w:val="000E59CB"/>
    <w:rsid w:val="000F21DF"/>
    <w:rsid w:val="000F5E27"/>
    <w:rsid w:val="000F7C15"/>
    <w:rsid w:val="00100E62"/>
    <w:rsid w:val="00103047"/>
    <w:rsid w:val="0010526C"/>
    <w:rsid w:val="00105F2F"/>
    <w:rsid w:val="001109E6"/>
    <w:rsid w:val="00115842"/>
    <w:rsid w:val="001211FA"/>
    <w:rsid w:val="001253D0"/>
    <w:rsid w:val="001311BE"/>
    <w:rsid w:val="001320F0"/>
    <w:rsid w:val="00132F80"/>
    <w:rsid w:val="0013300E"/>
    <w:rsid w:val="00133947"/>
    <w:rsid w:val="00141E9C"/>
    <w:rsid w:val="00143800"/>
    <w:rsid w:val="0014560B"/>
    <w:rsid w:val="00146B72"/>
    <w:rsid w:val="0014766B"/>
    <w:rsid w:val="00150D0A"/>
    <w:rsid w:val="00153C5F"/>
    <w:rsid w:val="0015594A"/>
    <w:rsid w:val="0015665B"/>
    <w:rsid w:val="0015794E"/>
    <w:rsid w:val="00160E17"/>
    <w:rsid w:val="001626B5"/>
    <w:rsid w:val="001628F4"/>
    <w:rsid w:val="00163B81"/>
    <w:rsid w:val="001671C0"/>
    <w:rsid w:val="001718AE"/>
    <w:rsid w:val="00171A21"/>
    <w:rsid w:val="00172C5B"/>
    <w:rsid w:val="00175419"/>
    <w:rsid w:val="00176D9B"/>
    <w:rsid w:val="00177CAA"/>
    <w:rsid w:val="00180922"/>
    <w:rsid w:val="00190D9C"/>
    <w:rsid w:val="001931C7"/>
    <w:rsid w:val="0019422B"/>
    <w:rsid w:val="001952AD"/>
    <w:rsid w:val="001A4476"/>
    <w:rsid w:val="001A6F7B"/>
    <w:rsid w:val="001B0071"/>
    <w:rsid w:val="001B0276"/>
    <w:rsid w:val="001B1868"/>
    <w:rsid w:val="001C424B"/>
    <w:rsid w:val="001C5CA4"/>
    <w:rsid w:val="001C6A9D"/>
    <w:rsid w:val="001C6CA7"/>
    <w:rsid w:val="001D1E29"/>
    <w:rsid w:val="001E1800"/>
    <w:rsid w:val="001E28E6"/>
    <w:rsid w:val="001E3487"/>
    <w:rsid w:val="001F083C"/>
    <w:rsid w:val="001F590D"/>
    <w:rsid w:val="002006A3"/>
    <w:rsid w:val="002010FC"/>
    <w:rsid w:val="00201229"/>
    <w:rsid w:val="0020574F"/>
    <w:rsid w:val="00211962"/>
    <w:rsid w:val="00213283"/>
    <w:rsid w:val="00213D98"/>
    <w:rsid w:val="00216495"/>
    <w:rsid w:val="002204E0"/>
    <w:rsid w:val="00221974"/>
    <w:rsid w:val="002223A9"/>
    <w:rsid w:val="00222940"/>
    <w:rsid w:val="0022452B"/>
    <w:rsid w:val="00226AA7"/>
    <w:rsid w:val="00227AC7"/>
    <w:rsid w:val="00234BB5"/>
    <w:rsid w:val="00236FD8"/>
    <w:rsid w:val="002373FE"/>
    <w:rsid w:val="002407FE"/>
    <w:rsid w:val="00241E81"/>
    <w:rsid w:val="002427E3"/>
    <w:rsid w:val="002429F4"/>
    <w:rsid w:val="00243984"/>
    <w:rsid w:val="0024659F"/>
    <w:rsid w:val="00253081"/>
    <w:rsid w:val="00255EF0"/>
    <w:rsid w:val="00256212"/>
    <w:rsid w:val="002578C6"/>
    <w:rsid w:val="002608E7"/>
    <w:rsid w:val="00260FF0"/>
    <w:rsid w:val="00261941"/>
    <w:rsid w:val="00262BEA"/>
    <w:rsid w:val="0027120E"/>
    <w:rsid w:val="002748E7"/>
    <w:rsid w:val="00281CF2"/>
    <w:rsid w:val="00282A7B"/>
    <w:rsid w:val="00283707"/>
    <w:rsid w:val="00287284"/>
    <w:rsid w:val="00290CEF"/>
    <w:rsid w:val="002942E0"/>
    <w:rsid w:val="00294BF0"/>
    <w:rsid w:val="00295CAB"/>
    <w:rsid w:val="002963AE"/>
    <w:rsid w:val="00296420"/>
    <w:rsid w:val="002A3E74"/>
    <w:rsid w:val="002A460F"/>
    <w:rsid w:val="002A65EE"/>
    <w:rsid w:val="002B1AB3"/>
    <w:rsid w:val="002B2822"/>
    <w:rsid w:val="002B7CD6"/>
    <w:rsid w:val="002C0830"/>
    <w:rsid w:val="002C28FF"/>
    <w:rsid w:val="002C3349"/>
    <w:rsid w:val="002C5133"/>
    <w:rsid w:val="002C6D98"/>
    <w:rsid w:val="002C6DE3"/>
    <w:rsid w:val="002C7906"/>
    <w:rsid w:val="002C7C99"/>
    <w:rsid w:val="002D1A6E"/>
    <w:rsid w:val="002D43D9"/>
    <w:rsid w:val="002D788F"/>
    <w:rsid w:val="002E188C"/>
    <w:rsid w:val="002E1B48"/>
    <w:rsid w:val="002E26E6"/>
    <w:rsid w:val="002E514C"/>
    <w:rsid w:val="002E61C5"/>
    <w:rsid w:val="002E6DB1"/>
    <w:rsid w:val="002F06AB"/>
    <w:rsid w:val="00302928"/>
    <w:rsid w:val="003048B9"/>
    <w:rsid w:val="00306416"/>
    <w:rsid w:val="003073C9"/>
    <w:rsid w:val="00310588"/>
    <w:rsid w:val="003129A0"/>
    <w:rsid w:val="00313945"/>
    <w:rsid w:val="00316B70"/>
    <w:rsid w:val="00320B03"/>
    <w:rsid w:val="0032435F"/>
    <w:rsid w:val="00326C80"/>
    <w:rsid w:val="00330FF0"/>
    <w:rsid w:val="003346ED"/>
    <w:rsid w:val="00334978"/>
    <w:rsid w:val="00342A58"/>
    <w:rsid w:val="00343B89"/>
    <w:rsid w:val="00346DB5"/>
    <w:rsid w:val="0035019E"/>
    <w:rsid w:val="00352010"/>
    <w:rsid w:val="00353CD4"/>
    <w:rsid w:val="00353F44"/>
    <w:rsid w:val="003552BC"/>
    <w:rsid w:val="0036714C"/>
    <w:rsid w:val="00372BC5"/>
    <w:rsid w:val="00374335"/>
    <w:rsid w:val="00374A4E"/>
    <w:rsid w:val="003753AB"/>
    <w:rsid w:val="003776A6"/>
    <w:rsid w:val="003860E1"/>
    <w:rsid w:val="00396DF2"/>
    <w:rsid w:val="00397F82"/>
    <w:rsid w:val="003A0475"/>
    <w:rsid w:val="003A0BB4"/>
    <w:rsid w:val="003A24D8"/>
    <w:rsid w:val="003A70EF"/>
    <w:rsid w:val="003A71DC"/>
    <w:rsid w:val="003A7C4A"/>
    <w:rsid w:val="003B0AF8"/>
    <w:rsid w:val="003B4F53"/>
    <w:rsid w:val="003B6DD1"/>
    <w:rsid w:val="003B77F4"/>
    <w:rsid w:val="003C1DB9"/>
    <w:rsid w:val="003C3C97"/>
    <w:rsid w:val="003C50C2"/>
    <w:rsid w:val="003D0548"/>
    <w:rsid w:val="003D09F1"/>
    <w:rsid w:val="003D33BF"/>
    <w:rsid w:val="003D3DD1"/>
    <w:rsid w:val="003D43AA"/>
    <w:rsid w:val="003D5599"/>
    <w:rsid w:val="003D61A9"/>
    <w:rsid w:val="003D6406"/>
    <w:rsid w:val="003D6B12"/>
    <w:rsid w:val="003D6BFF"/>
    <w:rsid w:val="003E0A94"/>
    <w:rsid w:val="003E592F"/>
    <w:rsid w:val="003E5BC1"/>
    <w:rsid w:val="003E7C85"/>
    <w:rsid w:val="003F093E"/>
    <w:rsid w:val="003F3170"/>
    <w:rsid w:val="00400FF3"/>
    <w:rsid w:val="00401D03"/>
    <w:rsid w:val="0040353B"/>
    <w:rsid w:val="00403738"/>
    <w:rsid w:val="00403DFD"/>
    <w:rsid w:val="00405469"/>
    <w:rsid w:val="00406569"/>
    <w:rsid w:val="00411D84"/>
    <w:rsid w:val="00412DC1"/>
    <w:rsid w:val="00416645"/>
    <w:rsid w:val="004166E2"/>
    <w:rsid w:val="00417001"/>
    <w:rsid w:val="00420744"/>
    <w:rsid w:val="00426105"/>
    <w:rsid w:val="00430285"/>
    <w:rsid w:val="00432903"/>
    <w:rsid w:val="004359FD"/>
    <w:rsid w:val="0043681F"/>
    <w:rsid w:val="0043745C"/>
    <w:rsid w:val="00442B4A"/>
    <w:rsid w:val="00443568"/>
    <w:rsid w:val="004557C2"/>
    <w:rsid w:val="004637E2"/>
    <w:rsid w:val="00465D3F"/>
    <w:rsid w:val="004811AF"/>
    <w:rsid w:val="004815E5"/>
    <w:rsid w:val="004819C9"/>
    <w:rsid w:val="004826DE"/>
    <w:rsid w:val="004847F9"/>
    <w:rsid w:val="00491141"/>
    <w:rsid w:val="0049143A"/>
    <w:rsid w:val="004957DF"/>
    <w:rsid w:val="004962F8"/>
    <w:rsid w:val="004A0CBB"/>
    <w:rsid w:val="004A41DB"/>
    <w:rsid w:val="004A65AE"/>
    <w:rsid w:val="004A6DC0"/>
    <w:rsid w:val="004B00AD"/>
    <w:rsid w:val="004B3B4E"/>
    <w:rsid w:val="004B767D"/>
    <w:rsid w:val="004C1A15"/>
    <w:rsid w:val="004C1B04"/>
    <w:rsid w:val="004C4769"/>
    <w:rsid w:val="004C483C"/>
    <w:rsid w:val="004C7A1A"/>
    <w:rsid w:val="004D1573"/>
    <w:rsid w:val="004D1710"/>
    <w:rsid w:val="004D202A"/>
    <w:rsid w:val="004D5CC9"/>
    <w:rsid w:val="004D6673"/>
    <w:rsid w:val="004E2A73"/>
    <w:rsid w:val="004E3ABE"/>
    <w:rsid w:val="004E57FB"/>
    <w:rsid w:val="004E585D"/>
    <w:rsid w:val="004E5BFF"/>
    <w:rsid w:val="004F4190"/>
    <w:rsid w:val="004F4281"/>
    <w:rsid w:val="004F6F9A"/>
    <w:rsid w:val="00505649"/>
    <w:rsid w:val="00507899"/>
    <w:rsid w:val="00517FBB"/>
    <w:rsid w:val="00521091"/>
    <w:rsid w:val="00522EB7"/>
    <w:rsid w:val="0053390C"/>
    <w:rsid w:val="00534266"/>
    <w:rsid w:val="00537746"/>
    <w:rsid w:val="00541212"/>
    <w:rsid w:val="0054558A"/>
    <w:rsid w:val="005459CC"/>
    <w:rsid w:val="00551D29"/>
    <w:rsid w:val="00554FA4"/>
    <w:rsid w:val="0056087A"/>
    <w:rsid w:val="0056101A"/>
    <w:rsid w:val="005627E1"/>
    <w:rsid w:val="005631CF"/>
    <w:rsid w:val="00564415"/>
    <w:rsid w:val="005644C5"/>
    <w:rsid w:val="005706AE"/>
    <w:rsid w:val="00570839"/>
    <w:rsid w:val="00572833"/>
    <w:rsid w:val="00572C4B"/>
    <w:rsid w:val="00577EE2"/>
    <w:rsid w:val="00580A46"/>
    <w:rsid w:val="0058304D"/>
    <w:rsid w:val="005916B4"/>
    <w:rsid w:val="00591890"/>
    <w:rsid w:val="005975E6"/>
    <w:rsid w:val="005979E3"/>
    <w:rsid w:val="00597C18"/>
    <w:rsid w:val="005A04A5"/>
    <w:rsid w:val="005A13F2"/>
    <w:rsid w:val="005A4323"/>
    <w:rsid w:val="005A6DC3"/>
    <w:rsid w:val="005B6EA4"/>
    <w:rsid w:val="005B7AD2"/>
    <w:rsid w:val="005C3396"/>
    <w:rsid w:val="005C3F8F"/>
    <w:rsid w:val="005C6161"/>
    <w:rsid w:val="005D00E8"/>
    <w:rsid w:val="005D1103"/>
    <w:rsid w:val="005D1E3D"/>
    <w:rsid w:val="005D1FD8"/>
    <w:rsid w:val="005D2DF4"/>
    <w:rsid w:val="005E0B1E"/>
    <w:rsid w:val="005E10DE"/>
    <w:rsid w:val="005E331A"/>
    <w:rsid w:val="005E33C5"/>
    <w:rsid w:val="005E3E89"/>
    <w:rsid w:val="005E6560"/>
    <w:rsid w:val="005F0604"/>
    <w:rsid w:val="005F143A"/>
    <w:rsid w:val="005F1B63"/>
    <w:rsid w:val="005F1D50"/>
    <w:rsid w:val="005F285B"/>
    <w:rsid w:val="005F6F8C"/>
    <w:rsid w:val="006056E6"/>
    <w:rsid w:val="00605EDF"/>
    <w:rsid w:val="006117DA"/>
    <w:rsid w:val="00614E91"/>
    <w:rsid w:val="006170AA"/>
    <w:rsid w:val="006220E5"/>
    <w:rsid w:val="00625C82"/>
    <w:rsid w:val="006274A5"/>
    <w:rsid w:val="00635730"/>
    <w:rsid w:val="00641C54"/>
    <w:rsid w:val="00642E75"/>
    <w:rsid w:val="00645B76"/>
    <w:rsid w:val="00651074"/>
    <w:rsid w:val="00653E4B"/>
    <w:rsid w:val="0065412F"/>
    <w:rsid w:val="0065511C"/>
    <w:rsid w:val="006576CC"/>
    <w:rsid w:val="00662CF8"/>
    <w:rsid w:val="00664BB1"/>
    <w:rsid w:val="00666B8F"/>
    <w:rsid w:val="00667AAE"/>
    <w:rsid w:val="006711FA"/>
    <w:rsid w:val="00671240"/>
    <w:rsid w:val="00672827"/>
    <w:rsid w:val="00673576"/>
    <w:rsid w:val="006802AC"/>
    <w:rsid w:val="00680A40"/>
    <w:rsid w:val="0068223F"/>
    <w:rsid w:val="006843F8"/>
    <w:rsid w:val="0068482A"/>
    <w:rsid w:val="00685FFF"/>
    <w:rsid w:val="00687237"/>
    <w:rsid w:val="0069044C"/>
    <w:rsid w:val="0069552D"/>
    <w:rsid w:val="0069774A"/>
    <w:rsid w:val="00697B2F"/>
    <w:rsid w:val="006A34D5"/>
    <w:rsid w:val="006A53D3"/>
    <w:rsid w:val="006B51CE"/>
    <w:rsid w:val="006B6131"/>
    <w:rsid w:val="006C0184"/>
    <w:rsid w:val="006C6121"/>
    <w:rsid w:val="006E1D33"/>
    <w:rsid w:val="006E4401"/>
    <w:rsid w:val="006E67CD"/>
    <w:rsid w:val="006F087B"/>
    <w:rsid w:val="006F0C59"/>
    <w:rsid w:val="006F201B"/>
    <w:rsid w:val="006F4C82"/>
    <w:rsid w:val="006F599D"/>
    <w:rsid w:val="007013C3"/>
    <w:rsid w:val="00703EBA"/>
    <w:rsid w:val="00703F2D"/>
    <w:rsid w:val="00705306"/>
    <w:rsid w:val="007167DD"/>
    <w:rsid w:val="00727F50"/>
    <w:rsid w:val="00732222"/>
    <w:rsid w:val="00740F7F"/>
    <w:rsid w:val="007427BF"/>
    <w:rsid w:val="0074368F"/>
    <w:rsid w:val="00750C04"/>
    <w:rsid w:val="00751B7F"/>
    <w:rsid w:val="007527DF"/>
    <w:rsid w:val="00755928"/>
    <w:rsid w:val="00762BB3"/>
    <w:rsid w:val="00765D5E"/>
    <w:rsid w:val="00766BFF"/>
    <w:rsid w:val="00767858"/>
    <w:rsid w:val="0076795C"/>
    <w:rsid w:val="00770041"/>
    <w:rsid w:val="007710B3"/>
    <w:rsid w:val="00771563"/>
    <w:rsid w:val="00780499"/>
    <w:rsid w:val="00783818"/>
    <w:rsid w:val="00786942"/>
    <w:rsid w:val="00786CE8"/>
    <w:rsid w:val="00791AF1"/>
    <w:rsid w:val="00793EBF"/>
    <w:rsid w:val="00794D96"/>
    <w:rsid w:val="00797BEC"/>
    <w:rsid w:val="007A02D9"/>
    <w:rsid w:val="007A4E89"/>
    <w:rsid w:val="007A779B"/>
    <w:rsid w:val="007B03AC"/>
    <w:rsid w:val="007B7412"/>
    <w:rsid w:val="007C29AE"/>
    <w:rsid w:val="007C31BA"/>
    <w:rsid w:val="007C49A2"/>
    <w:rsid w:val="007D030C"/>
    <w:rsid w:val="007D0B05"/>
    <w:rsid w:val="007D5D5E"/>
    <w:rsid w:val="007D6543"/>
    <w:rsid w:val="007D6BFF"/>
    <w:rsid w:val="007D7C6E"/>
    <w:rsid w:val="007E1AE9"/>
    <w:rsid w:val="007E225B"/>
    <w:rsid w:val="007E7D45"/>
    <w:rsid w:val="007F01E7"/>
    <w:rsid w:val="0080076D"/>
    <w:rsid w:val="00800CDA"/>
    <w:rsid w:val="00800D27"/>
    <w:rsid w:val="00803D29"/>
    <w:rsid w:val="008046BA"/>
    <w:rsid w:val="00807C30"/>
    <w:rsid w:val="00810741"/>
    <w:rsid w:val="00812018"/>
    <w:rsid w:val="008126C6"/>
    <w:rsid w:val="00813E7F"/>
    <w:rsid w:val="00814A5B"/>
    <w:rsid w:val="00815CB6"/>
    <w:rsid w:val="0081688D"/>
    <w:rsid w:val="00817EA9"/>
    <w:rsid w:val="0082529D"/>
    <w:rsid w:val="00825596"/>
    <w:rsid w:val="0084040C"/>
    <w:rsid w:val="00840937"/>
    <w:rsid w:val="00844F10"/>
    <w:rsid w:val="00845E55"/>
    <w:rsid w:val="00851042"/>
    <w:rsid w:val="0085398C"/>
    <w:rsid w:val="00853E33"/>
    <w:rsid w:val="00856A32"/>
    <w:rsid w:val="008616F1"/>
    <w:rsid w:val="00861BB9"/>
    <w:rsid w:val="00864C22"/>
    <w:rsid w:val="00864D14"/>
    <w:rsid w:val="0087194E"/>
    <w:rsid w:val="00873078"/>
    <w:rsid w:val="00874E17"/>
    <w:rsid w:val="008774FE"/>
    <w:rsid w:val="00882370"/>
    <w:rsid w:val="00883EF9"/>
    <w:rsid w:val="00885C0A"/>
    <w:rsid w:val="008869ED"/>
    <w:rsid w:val="00886F51"/>
    <w:rsid w:val="00887DC4"/>
    <w:rsid w:val="0089048C"/>
    <w:rsid w:val="0089209D"/>
    <w:rsid w:val="00894C14"/>
    <w:rsid w:val="008A0B9D"/>
    <w:rsid w:val="008A2C2E"/>
    <w:rsid w:val="008A383B"/>
    <w:rsid w:val="008B0F8C"/>
    <w:rsid w:val="008B442E"/>
    <w:rsid w:val="008C19B5"/>
    <w:rsid w:val="008C59A5"/>
    <w:rsid w:val="008C7E68"/>
    <w:rsid w:val="008C7F38"/>
    <w:rsid w:val="008D3909"/>
    <w:rsid w:val="008E250B"/>
    <w:rsid w:val="008E4655"/>
    <w:rsid w:val="008E75A4"/>
    <w:rsid w:val="008F174E"/>
    <w:rsid w:val="008F35E6"/>
    <w:rsid w:val="009228C9"/>
    <w:rsid w:val="0092330E"/>
    <w:rsid w:val="00923995"/>
    <w:rsid w:val="00925212"/>
    <w:rsid w:val="00927551"/>
    <w:rsid w:val="0093270A"/>
    <w:rsid w:val="0093343F"/>
    <w:rsid w:val="00941E11"/>
    <w:rsid w:val="009431EC"/>
    <w:rsid w:val="00947468"/>
    <w:rsid w:val="00950B57"/>
    <w:rsid w:val="009578AB"/>
    <w:rsid w:val="00971FEF"/>
    <w:rsid w:val="0098337C"/>
    <w:rsid w:val="00984822"/>
    <w:rsid w:val="00984B5E"/>
    <w:rsid w:val="009922DF"/>
    <w:rsid w:val="009934F8"/>
    <w:rsid w:val="0099422A"/>
    <w:rsid w:val="009A0C7C"/>
    <w:rsid w:val="009A0FFE"/>
    <w:rsid w:val="009A2E32"/>
    <w:rsid w:val="009A4874"/>
    <w:rsid w:val="009A7B3B"/>
    <w:rsid w:val="009B2E9B"/>
    <w:rsid w:val="009B3AEE"/>
    <w:rsid w:val="009B3E5C"/>
    <w:rsid w:val="009B681D"/>
    <w:rsid w:val="009C1C4C"/>
    <w:rsid w:val="009C206D"/>
    <w:rsid w:val="009C298C"/>
    <w:rsid w:val="009C33EF"/>
    <w:rsid w:val="009D07CF"/>
    <w:rsid w:val="009E204A"/>
    <w:rsid w:val="009E43A4"/>
    <w:rsid w:val="009E4D5B"/>
    <w:rsid w:val="009F1288"/>
    <w:rsid w:val="009F5BFB"/>
    <w:rsid w:val="009F5F85"/>
    <w:rsid w:val="00A01EBE"/>
    <w:rsid w:val="00A04747"/>
    <w:rsid w:val="00A06D3C"/>
    <w:rsid w:val="00A1143B"/>
    <w:rsid w:val="00A12AC4"/>
    <w:rsid w:val="00A156F9"/>
    <w:rsid w:val="00A30762"/>
    <w:rsid w:val="00A3135B"/>
    <w:rsid w:val="00A33DB4"/>
    <w:rsid w:val="00A35976"/>
    <w:rsid w:val="00A37ECD"/>
    <w:rsid w:val="00A41C79"/>
    <w:rsid w:val="00A427BA"/>
    <w:rsid w:val="00A43F6E"/>
    <w:rsid w:val="00A51049"/>
    <w:rsid w:val="00A51A60"/>
    <w:rsid w:val="00A51E02"/>
    <w:rsid w:val="00A51F86"/>
    <w:rsid w:val="00A568DF"/>
    <w:rsid w:val="00A56EE0"/>
    <w:rsid w:val="00A575B2"/>
    <w:rsid w:val="00A5768B"/>
    <w:rsid w:val="00A615E0"/>
    <w:rsid w:val="00A61ECC"/>
    <w:rsid w:val="00A727A2"/>
    <w:rsid w:val="00A765F0"/>
    <w:rsid w:val="00A77707"/>
    <w:rsid w:val="00A77A72"/>
    <w:rsid w:val="00A809A2"/>
    <w:rsid w:val="00A8186A"/>
    <w:rsid w:val="00A83D32"/>
    <w:rsid w:val="00A8542F"/>
    <w:rsid w:val="00A8715B"/>
    <w:rsid w:val="00A87957"/>
    <w:rsid w:val="00A879AE"/>
    <w:rsid w:val="00A90E37"/>
    <w:rsid w:val="00A91D71"/>
    <w:rsid w:val="00A92DC1"/>
    <w:rsid w:val="00A946C5"/>
    <w:rsid w:val="00A97224"/>
    <w:rsid w:val="00AA172A"/>
    <w:rsid w:val="00AA2C2C"/>
    <w:rsid w:val="00AB08D2"/>
    <w:rsid w:val="00AB34DE"/>
    <w:rsid w:val="00AB4C28"/>
    <w:rsid w:val="00AB6192"/>
    <w:rsid w:val="00AB6E90"/>
    <w:rsid w:val="00AC2896"/>
    <w:rsid w:val="00AC321D"/>
    <w:rsid w:val="00AC3AFF"/>
    <w:rsid w:val="00AC4E8C"/>
    <w:rsid w:val="00AC66B8"/>
    <w:rsid w:val="00AC6E71"/>
    <w:rsid w:val="00AC779F"/>
    <w:rsid w:val="00AD2BBE"/>
    <w:rsid w:val="00AD345D"/>
    <w:rsid w:val="00AD4366"/>
    <w:rsid w:val="00AE04B8"/>
    <w:rsid w:val="00AE06D2"/>
    <w:rsid w:val="00AE0DA1"/>
    <w:rsid w:val="00AE4533"/>
    <w:rsid w:val="00AE4B76"/>
    <w:rsid w:val="00AE4F45"/>
    <w:rsid w:val="00AE5C2C"/>
    <w:rsid w:val="00AE6EE1"/>
    <w:rsid w:val="00AE7BFA"/>
    <w:rsid w:val="00AF0091"/>
    <w:rsid w:val="00AF0315"/>
    <w:rsid w:val="00AF554C"/>
    <w:rsid w:val="00AF7287"/>
    <w:rsid w:val="00AF7F9B"/>
    <w:rsid w:val="00B0299F"/>
    <w:rsid w:val="00B034F3"/>
    <w:rsid w:val="00B04E88"/>
    <w:rsid w:val="00B05AD9"/>
    <w:rsid w:val="00B11467"/>
    <w:rsid w:val="00B11B20"/>
    <w:rsid w:val="00B14229"/>
    <w:rsid w:val="00B15768"/>
    <w:rsid w:val="00B1680A"/>
    <w:rsid w:val="00B20475"/>
    <w:rsid w:val="00B20B96"/>
    <w:rsid w:val="00B23CB7"/>
    <w:rsid w:val="00B272E0"/>
    <w:rsid w:val="00B2782E"/>
    <w:rsid w:val="00B309EF"/>
    <w:rsid w:val="00B35B09"/>
    <w:rsid w:val="00B35F78"/>
    <w:rsid w:val="00B366BE"/>
    <w:rsid w:val="00B376C7"/>
    <w:rsid w:val="00B41CDF"/>
    <w:rsid w:val="00B41D7A"/>
    <w:rsid w:val="00B43E1F"/>
    <w:rsid w:val="00B47FEF"/>
    <w:rsid w:val="00B50164"/>
    <w:rsid w:val="00B508BE"/>
    <w:rsid w:val="00B509A5"/>
    <w:rsid w:val="00B50AA0"/>
    <w:rsid w:val="00B52297"/>
    <w:rsid w:val="00B52BF2"/>
    <w:rsid w:val="00B5414C"/>
    <w:rsid w:val="00B568EB"/>
    <w:rsid w:val="00B57889"/>
    <w:rsid w:val="00B63ED9"/>
    <w:rsid w:val="00B70A81"/>
    <w:rsid w:val="00B76C81"/>
    <w:rsid w:val="00B8200F"/>
    <w:rsid w:val="00B84F79"/>
    <w:rsid w:val="00B86129"/>
    <w:rsid w:val="00B865DB"/>
    <w:rsid w:val="00B90EF4"/>
    <w:rsid w:val="00B9285C"/>
    <w:rsid w:val="00B9525C"/>
    <w:rsid w:val="00B95630"/>
    <w:rsid w:val="00B97414"/>
    <w:rsid w:val="00B97E70"/>
    <w:rsid w:val="00BA0AC9"/>
    <w:rsid w:val="00BA7D34"/>
    <w:rsid w:val="00BB2D45"/>
    <w:rsid w:val="00BB7290"/>
    <w:rsid w:val="00BC485C"/>
    <w:rsid w:val="00BC5240"/>
    <w:rsid w:val="00BC7209"/>
    <w:rsid w:val="00BD120C"/>
    <w:rsid w:val="00BD65EB"/>
    <w:rsid w:val="00BE3853"/>
    <w:rsid w:val="00BE4D3B"/>
    <w:rsid w:val="00BE541F"/>
    <w:rsid w:val="00BE5ACF"/>
    <w:rsid w:val="00BE7E8D"/>
    <w:rsid w:val="00BF0F01"/>
    <w:rsid w:val="00BF1432"/>
    <w:rsid w:val="00BF6B27"/>
    <w:rsid w:val="00BF6BA4"/>
    <w:rsid w:val="00BF6DEA"/>
    <w:rsid w:val="00C02FCE"/>
    <w:rsid w:val="00C030B0"/>
    <w:rsid w:val="00C04504"/>
    <w:rsid w:val="00C06624"/>
    <w:rsid w:val="00C074F3"/>
    <w:rsid w:val="00C13512"/>
    <w:rsid w:val="00C1526B"/>
    <w:rsid w:val="00C15823"/>
    <w:rsid w:val="00C2152C"/>
    <w:rsid w:val="00C23BB7"/>
    <w:rsid w:val="00C2652E"/>
    <w:rsid w:val="00C27157"/>
    <w:rsid w:val="00C33611"/>
    <w:rsid w:val="00C35EE4"/>
    <w:rsid w:val="00C3623E"/>
    <w:rsid w:val="00C36B97"/>
    <w:rsid w:val="00C372A3"/>
    <w:rsid w:val="00C37518"/>
    <w:rsid w:val="00C42B35"/>
    <w:rsid w:val="00C439A9"/>
    <w:rsid w:val="00C44153"/>
    <w:rsid w:val="00C47081"/>
    <w:rsid w:val="00C4729B"/>
    <w:rsid w:val="00C472FA"/>
    <w:rsid w:val="00C517AC"/>
    <w:rsid w:val="00C52CC1"/>
    <w:rsid w:val="00C555E8"/>
    <w:rsid w:val="00C57C89"/>
    <w:rsid w:val="00C6627A"/>
    <w:rsid w:val="00C7600D"/>
    <w:rsid w:val="00C803DB"/>
    <w:rsid w:val="00C8080B"/>
    <w:rsid w:val="00C823D3"/>
    <w:rsid w:val="00C903CA"/>
    <w:rsid w:val="00C90D24"/>
    <w:rsid w:val="00C90D43"/>
    <w:rsid w:val="00C91337"/>
    <w:rsid w:val="00C92C20"/>
    <w:rsid w:val="00C943EF"/>
    <w:rsid w:val="00C94E46"/>
    <w:rsid w:val="00C97252"/>
    <w:rsid w:val="00CA5917"/>
    <w:rsid w:val="00CA7462"/>
    <w:rsid w:val="00CB1A4C"/>
    <w:rsid w:val="00CB2E17"/>
    <w:rsid w:val="00CB44B5"/>
    <w:rsid w:val="00CB60E0"/>
    <w:rsid w:val="00CB6D4B"/>
    <w:rsid w:val="00CC6AF2"/>
    <w:rsid w:val="00CD1E81"/>
    <w:rsid w:val="00CD31C6"/>
    <w:rsid w:val="00CD3A51"/>
    <w:rsid w:val="00CD422C"/>
    <w:rsid w:val="00CD4FCF"/>
    <w:rsid w:val="00CD749E"/>
    <w:rsid w:val="00CE2FB7"/>
    <w:rsid w:val="00CE4D08"/>
    <w:rsid w:val="00CE5070"/>
    <w:rsid w:val="00CE5397"/>
    <w:rsid w:val="00CE61C1"/>
    <w:rsid w:val="00CE6B36"/>
    <w:rsid w:val="00CF3796"/>
    <w:rsid w:val="00CF4324"/>
    <w:rsid w:val="00CF6695"/>
    <w:rsid w:val="00D022D2"/>
    <w:rsid w:val="00D03050"/>
    <w:rsid w:val="00D0567A"/>
    <w:rsid w:val="00D1095E"/>
    <w:rsid w:val="00D12B11"/>
    <w:rsid w:val="00D22557"/>
    <w:rsid w:val="00D23BFD"/>
    <w:rsid w:val="00D23E72"/>
    <w:rsid w:val="00D27A7A"/>
    <w:rsid w:val="00D32CDE"/>
    <w:rsid w:val="00D3349B"/>
    <w:rsid w:val="00D34D1A"/>
    <w:rsid w:val="00D3759A"/>
    <w:rsid w:val="00D425D5"/>
    <w:rsid w:val="00D43CA2"/>
    <w:rsid w:val="00D449D7"/>
    <w:rsid w:val="00D4676F"/>
    <w:rsid w:val="00D5176B"/>
    <w:rsid w:val="00D55138"/>
    <w:rsid w:val="00D63520"/>
    <w:rsid w:val="00D722C1"/>
    <w:rsid w:val="00D7354B"/>
    <w:rsid w:val="00D7519D"/>
    <w:rsid w:val="00D80790"/>
    <w:rsid w:val="00D822E9"/>
    <w:rsid w:val="00D945F9"/>
    <w:rsid w:val="00D967ED"/>
    <w:rsid w:val="00D968E5"/>
    <w:rsid w:val="00DA1EE3"/>
    <w:rsid w:val="00DA27D2"/>
    <w:rsid w:val="00DA3713"/>
    <w:rsid w:val="00DA3DAF"/>
    <w:rsid w:val="00DA3FA8"/>
    <w:rsid w:val="00DA589F"/>
    <w:rsid w:val="00DB11BA"/>
    <w:rsid w:val="00DB2FA9"/>
    <w:rsid w:val="00DB3091"/>
    <w:rsid w:val="00DC02E4"/>
    <w:rsid w:val="00DC753E"/>
    <w:rsid w:val="00DC7614"/>
    <w:rsid w:val="00DD20E5"/>
    <w:rsid w:val="00DD2427"/>
    <w:rsid w:val="00DE1809"/>
    <w:rsid w:val="00DE201A"/>
    <w:rsid w:val="00DE2241"/>
    <w:rsid w:val="00DE23DE"/>
    <w:rsid w:val="00DE53B3"/>
    <w:rsid w:val="00DE61D3"/>
    <w:rsid w:val="00DF0602"/>
    <w:rsid w:val="00E022BA"/>
    <w:rsid w:val="00E027A4"/>
    <w:rsid w:val="00E03F41"/>
    <w:rsid w:val="00E0419D"/>
    <w:rsid w:val="00E047E7"/>
    <w:rsid w:val="00E06867"/>
    <w:rsid w:val="00E126F4"/>
    <w:rsid w:val="00E128AC"/>
    <w:rsid w:val="00E14F46"/>
    <w:rsid w:val="00E15297"/>
    <w:rsid w:val="00E15488"/>
    <w:rsid w:val="00E17319"/>
    <w:rsid w:val="00E205A8"/>
    <w:rsid w:val="00E231FE"/>
    <w:rsid w:val="00E260A2"/>
    <w:rsid w:val="00E268B2"/>
    <w:rsid w:val="00E26909"/>
    <w:rsid w:val="00E26FC4"/>
    <w:rsid w:val="00E3135D"/>
    <w:rsid w:val="00E31B08"/>
    <w:rsid w:val="00E360DF"/>
    <w:rsid w:val="00E45876"/>
    <w:rsid w:val="00E45A22"/>
    <w:rsid w:val="00E52400"/>
    <w:rsid w:val="00E56110"/>
    <w:rsid w:val="00E57341"/>
    <w:rsid w:val="00E64366"/>
    <w:rsid w:val="00E654F5"/>
    <w:rsid w:val="00E67A4D"/>
    <w:rsid w:val="00E72FBF"/>
    <w:rsid w:val="00E74161"/>
    <w:rsid w:val="00E76E05"/>
    <w:rsid w:val="00E84279"/>
    <w:rsid w:val="00E84503"/>
    <w:rsid w:val="00E84B2E"/>
    <w:rsid w:val="00E852BD"/>
    <w:rsid w:val="00E86832"/>
    <w:rsid w:val="00E878E2"/>
    <w:rsid w:val="00E87AFA"/>
    <w:rsid w:val="00E90461"/>
    <w:rsid w:val="00E908AA"/>
    <w:rsid w:val="00E939F0"/>
    <w:rsid w:val="00E97EF2"/>
    <w:rsid w:val="00EA1B1C"/>
    <w:rsid w:val="00EA7390"/>
    <w:rsid w:val="00EB04D8"/>
    <w:rsid w:val="00EB0681"/>
    <w:rsid w:val="00EB29F7"/>
    <w:rsid w:val="00EB4954"/>
    <w:rsid w:val="00EC07A8"/>
    <w:rsid w:val="00EC6205"/>
    <w:rsid w:val="00ED248D"/>
    <w:rsid w:val="00ED533E"/>
    <w:rsid w:val="00ED602C"/>
    <w:rsid w:val="00ED62B6"/>
    <w:rsid w:val="00EE4358"/>
    <w:rsid w:val="00EE4F4F"/>
    <w:rsid w:val="00EF0717"/>
    <w:rsid w:val="00EF3646"/>
    <w:rsid w:val="00EF384F"/>
    <w:rsid w:val="00EF59BA"/>
    <w:rsid w:val="00EF6A6F"/>
    <w:rsid w:val="00EF7C10"/>
    <w:rsid w:val="00F019D6"/>
    <w:rsid w:val="00F028FC"/>
    <w:rsid w:val="00F1645D"/>
    <w:rsid w:val="00F16FF4"/>
    <w:rsid w:val="00F176F1"/>
    <w:rsid w:val="00F208F8"/>
    <w:rsid w:val="00F2246C"/>
    <w:rsid w:val="00F22518"/>
    <w:rsid w:val="00F22827"/>
    <w:rsid w:val="00F22CD0"/>
    <w:rsid w:val="00F23AE9"/>
    <w:rsid w:val="00F23D02"/>
    <w:rsid w:val="00F23FFF"/>
    <w:rsid w:val="00F271CB"/>
    <w:rsid w:val="00F2764D"/>
    <w:rsid w:val="00F3048C"/>
    <w:rsid w:val="00F32B0F"/>
    <w:rsid w:val="00F358E3"/>
    <w:rsid w:val="00F41105"/>
    <w:rsid w:val="00F446E3"/>
    <w:rsid w:val="00F45917"/>
    <w:rsid w:val="00F46955"/>
    <w:rsid w:val="00F47F65"/>
    <w:rsid w:val="00F5063C"/>
    <w:rsid w:val="00F52F04"/>
    <w:rsid w:val="00F56B3C"/>
    <w:rsid w:val="00F57A5D"/>
    <w:rsid w:val="00F65735"/>
    <w:rsid w:val="00F73185"/>
    <w:rsid w:val="00F745FB"/>
    <w:rsid w:val="00F76292"/>
    <w:rsid w:val="00F765B5"/>
    <w:rsid w:val="00F81174"/>
    <w:rsid w:val="00F8162F"/>
    <w:rsid w:val="00F81A3A"/>
    <w:rsid w:val="00F9406A"/>
    <w:rsid w:val="00F947E7"/>
    <w:rsid w:val="00FA4CC5"/>
    <w:rsid w:val="00FA51DD"/>
    <w:rsid w:val="00FA6217"/>
    <w:rsid w:val="00FA730A"/>
    <w:rsid w:val="00FB2359"/>
    <w:rsid w:val="00FB4617"/>
    <w:rsid w:val="00FB69EC"/>
    <w:rsid w:val="00FC23F5"/>
    <w:rsid w:val="00FC2B2C"/>
    <w:rsid w:val="00FC2BC0"/>
    <w:rsid w:val="00FC486F"/>
    <w:rsid w:val="00FD0913"/>
    <w:rsid w:val="00FD6B93"/>
    <w:rsid w:val="00FE52CC"/>
    <w:rsid w:val="00FF325A"/>
    <w:rsid w:val="00FF7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link w:val="Heading2Char"/>
    <w:qFormat/>
    <w:pPr>
      <w:keepNext/>
      <w:jc w:val="center"/>
      <w:outlineLvl w:val="1"/>
    </w:pPr>
    <w:rPr>
      <w:sz w:val="24"/>
    </w:rPr>
  </w:style>
  <w:style w:type="paragraph" w:styleId="Heading3">
    <w:name w:val="heading 3"/>
    <w:basedOn w:val="Normal"/>
    <w:next w:val="Normal"/>
    <w:link w:val="Heading3Char"/>
    <w:qFormat/>
    <w:pPr>
      <w:keepNext/>
      <w:jc w:val="both"/>
      <w:outlineLvl w:val="2"/>
    </w:pPr>
    <w:rPr>
      <w:b/>
      <w:sz w:val="24"/>
    </w:rPr>
  </w:style>
  <w:style w:type="paragraph" w:styleId="Heading4">
    <w:name w:val="heading 4"/>
    <w:basedOn w:val="Normal"/>
    <w:next w:val="Normal"/>
    <w:qFormat/>
    <w:pPr>
      <w:keepNext/>
      <w:jc w:val="both"/>
      <w:outlineLvl w:val="3"/>
    </w:pPr>
    <w:rPr>
      <w:sz w:val="24"/>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link w:val="Heading6Char"/>
    <w:qFormat/>
    <w:pPr>
      <w:keepNext/>
      <w:jc w:val="both"/>
      <w:outlineLvl w:val="5"/>
    </w:pPr>
    <w:rPr>
      <w:b/>
      <w:color w:val="000080"/>
      <w:sz w:val="24"/>
    </w:rPr>
  </w:style>
  <w:style w:type="paragraph" w:styleId="Heading7">
    <w:name w:val="heading 7"/>
    <w:basedOn w:val="Normal"/>
    <w:next w:val="Normal"/>
    <w:qFormat/>
    <w:pPr>
      <w:keepNext/>
      <w:ind w:firstLine="426"/>
      <w:jc w:val="both"/>
      <w:outlineLvl w:val="6"/>
    </w:pPr>
    <w:rPr>
      <w:color w:val="000080"/>
      <w:sz w:val="24"/>
    </w:rPr>
  </w:style>
  <w:style w:type="paragraph" w:styleId="Heading8">
    <w:name w:val="heading 8"/>
    <w:basedOn w:val="Normal"/>
    <w:next w:val="Normal"/>
    <w:qFormat/>
    <w:pPr>
      <w:keepNext/>
      <w:ind w:firstLine="426"/>
      <w:jc w:val="both"/>
      <w:outlineLvl w:val="7"/>
    </w:pPr>
    <w:rPr>
      <w:sz w:val="24"/>
    </w:rPr>
  </w:style>
  <w:style w:type="paragraph" w:styleId="Heading9">
    <w:name w:val="heading 9"/>
    <w:basedOn w:val="Normal"/>
    <w:next w:val="Normal"/>
    <w:qFormat/>
    <w:pPr>
      <w:keepNext/>
      <w:tabs>
        <w:tab w:val="num" w:pos="360"/>
      </w:tabs>
      <w:ind w:left="426" w:firstLine="66"/>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Caption">
    <w:name w:val="caption"/>
    <w:basedOn w:val="Normal"/>
    <w:next w:val="Normal"/>
    <w:qFormat/>
    <w:pPr>
      <w:spacing w:before="120" w:after="120"/>
    </w:pPr>
    <w:rPr>
      <w:b/>
    </w:rPr>
  </w:style>
  <w:style w:type="paragraph" w:styleId="BodyText">
    <w:name w:val="Body Text"/>
    <w:basedOn w:val="Normal"/>
    <w:link w:val="BodyTextChar"/>
    <w:semiHidden/>
    <w:pPr>
      <w:jc w:val="both"/>
    </w:pPr>
    <w:rPr>
      <w:sz w:val="24"/>
    </w:rPr>
  </w:style>
  <w:style w:type="paragraph" w:styleId="BodyTextIndent">
    <w:name w:val="Body Text Indent"/>
    <w:basedOn w:val="Normal"/>
    <w:link w:val="BodyTextIndentChar"/>
    <w:semiHidden/>
    <w:pPr>
      <w:ind w:left="360"/>
      <w:jc w:val="both"/>
    </w:pPr>
    <w:rPr>
      <w:sz w:val="24"/>
    </w:rPr>
  </w:style>
  <w:style w:type="character" w:styleId="PageNumber">
    <w:name w:val="page number"/>
    <w:basedOn w:val="DefaultParagraphFont"/>
    <w:semiHidden/>
  </w:style>
  <w:style w:type="paragraph" w:styleId="Title">
    <w:name w:val="Title"/>
    <w:basedOn w:val="Normal"/>
    <w:qFormat/>
    <w:pPr>
      <w:jc w:val="center"/>
    </w:pPr>
    <w:rPr>
      <w:b/>
    </w:rPr>
  </w:style>
  <w:style w:type="paragraph" w:styleId="BodyTextIndent2">
    <w:name w:val="Body Text Indent 2"/>
    <w:basedOn w:val="Normal"/>
    <w:link w:val="BodyTextIndent2Char"/>
    <w:semiHidden/>
    <w:pPr>
      <w:ind w:left="567"/>
      <w:jc w:val="both"/>
    </w:pPr>
    <w:rPr>
      <w:sz w:val="24"/>
    </w:rPr>
  </w:style>
  <w:style w:type="paragraph" w:styleId="BodyTextIndent3">
    <w:name w:val="Body Text Indent 3"/>
    <w:basedOn w:val="Normal"/>
    <w:link w:val="BodyTextIndent3Char"/>
    <w:semiHidden/>
    <w:pPr>
      <w:ind w:left="284"/>
      <w:jc w:val="both"/>
    </w:pPr>
    <w:rPr>
      <w:sz w:val="24"/>
    </w:rPr>
  </w:style>
  <w:style w:type="paragraph" w:styleId="Subtitle">
    <w:name w:val="Subtitle"/>
    <w:basedOn w:val="Normal"/>
    <w:link w:val="SubtitleChar"/>
    <w:qFormat/>
    <w:rPr>
      <w:b/>
      <w:color w:val="000080"/>
      <w:sz w:val="24"/>
    </w:rPr>
  </w:style>
  <w:style w:type="paragraph" w:customStyle="1" w:styleId="xl24">
    <w:name w:val="xl24"/>
    <w:basedOn w:val="Normal"/>
    <w:pPr>
      <w:spacing w:before="100" w:beforeAutospacing="1" w:after="100" w:afterAutospacing="1"/>
      <w:jc w:val="center"/>
    </w:pPr>
    <w:rPr>
      <w:sz w:val="24"/>
      <w:szCs w:val="24"/>
    </w:rPr>
  </w:style>
  <w:style w:type="paragraph" w:customStyle="1" w:styleId="xl26">
    <w:name w:val="xl26"/>
    <w:basedOn w:val="Normal"/>
    <w:pPr>
      <w:pBdr>
        <w:bottom w:val="single" w:sz="4" w:space="0" w:color="auto"/>
      </w:pBdr>
      <w:spacing w:before="100" w:beforeAutospacing="1" w:after="100" w:afterAutospacing="1"/>
    </w:pPr>
    <w:rPr>
      <w:sz w:val="24"/>
      <w:szCs w:val="24"/>
    </w:rPr>
  </w:style>
  <w:style w:type="paragraph" w:customStyle="1" w:styleId="xl28">
    <w:name w:val="xl28"/>
    <w:basedOn w:val="Normal"/>
    <w:pPr>
      <w:pBdr>
        <w:bottom w:val="single" w:sz="4" w:space="0" w:color="auto"/>
      </w:pBdr>
      <w:spacing w:before="100" w:beforeAutospacing="1" w:after="100" w:afterAutospacing="1"/>
    </w:pPr>
    <w:rPr>
      <w:sz w:val="24"/>
      <w:szCs w:val="24"/>
    </w:rPr>
  </w:style>
  <w:style w:type="paragraph" w:customStyle="1" w:styleId="xl30">
    <w:name w:val="xl30"/>
    <w:basedOn w:val="Normal"/>
    <w:pPr>
      <w:pBdr>
        <w:bottom w:val="single" w:sz="12" w:space="0" w:color="auto"/>
      </w:pBdr>
      <w:spacing w:before="100" w:beforeAutospacing="1" w:after="100" w:afterAutospacing="1"/>
    </w:pPr>
    <w:rPr>
      <w:sz w:val="24"/>
      <w:szCs w:val="24"/>
    </w:rPr>
  </w:style>
  <w:style w:type="paragraph" w:customStyle="1" w:styleId="xl31">
    <w:name w:val="xl31"/>
    <w:basedOn w:val="Normal"/>
    <w:pPr>
      <w:pBdr>
        <w:top w:val="single" w:sz="8" w:space="0" w:color="auto"/>
        <w:bottom w:val="single" w:sz="12" w:space="0" w:color="auto"/>
      </w:pBdr>
      <w:spacing w:before="100" w:beforeAutospacing="1" w:after="100" w:afterAutospacing="1"/>
    </w:pPr>
    <w:rPr>
      <w:sz w:val="24"/>
      <w:szCs w:val="24"/>
    </w:rPr>
  </w:style>
  <w:style w:type="paragraph" w:customStyle="1" w:styleId="xl32">
    <w:name w:val="xl32"/>
    <w:basedOn w:val="Normal"/>
    <w:pPr>
      <w:pBdr>
        <w:top w:val="single" w:sz="8" w:space="0" w:color="auto"/>
        <w:bottom w:val="single" w:sz="12" w:space="0" w:color="auto"/>
      </w:pBdr>
      <w:spacing w:before="100" w:beforeAutospacing="1" w:after="100" w:afterAutospacing="1"/>
    </w:pPr>
    <w:rPr>
      <w:sz w:val="24"/>
      <w:szCs w:val="24"/>
    </w:rPr>
  </w:style>
  <w:style w:type="paragraph" w:customStyle="1" w:styleId="xl33">
    <w:name w:val="xl33"/>
    <w:basedOn w:val="Normal"/>
    <w:pPr>
      <w:pBdr>
        <w:top w:val="single" w:sz="8" w:space="0" w:color="auto"/>
      </w:pBdr>
      <w:spacing w:before="100" w:beforeAutospacing="1" w:after="100" w:afterAutospacing="1"/>
    </w:pPr>
    <w:rPr>
      <w:sz w:val="24"/>
      <w:szCs w:val="24"/>
    </w:rPr>
  </w:style>
  <w:style w:type="paragraph" w:customStyle="1" w:styleId="xl25">
    <w:name w:val="xl25"/>
    <w:basedOn w:val="Normal"/>
    <w:pPr>
      <w:spacing w:before="100" w:beforeAutospacing="1" w:after="100" w:afterAutospacing="1"/>
    </w:pPr>
    <w:rPr>
      <w:rFonts w:ascii="Arial" w:hAnsi="Arial" w:cs="Arial"/>
      <w:b/>
      <w:bCs/>
      <w:sz w:val="24"/>
      <w:szCs w:val="24"/>
    </w:rPr>
  </w:style>
  <w:style w:type="paragraph" w:customStyle="1" w:styleId="xl27">
    <w:name w:val="xl27"/>
    <w:basedOn w:val="Normal"/>
    <w:pPr>
      <w:spacing w:before="100" w:beforeAutospacing="1" w:after="100" w:afterAutospacing="1"/>
      <w:jc w:val="center"/>
    </w:pPr>
    <w:rPr>
      <w:rFonts w:ascii="Arial" w:hAnsi="Arial" w:cs="Arial"/>
      <w:sz w:val="24"/>
      <w:szCs w:val="24"/>
    </w:rPr>
  </w:style>
  <w:style w:type="paragraph" w:customStyle="1" w:styleId="xl29">
    <w:name w:val="xl29"/>
    <w:basedOn w:val="Normal"/>
    <w:pPr>
      <w:pBdr>
        <w:top w:val="single" w:sz="8" w:space="0" w:color="auto"/>
      </w:pBdr>
      <w:spacing w:before="100" w:beforeAutospacing="1" w:after="100" w:afterAutospacing="1"/>
    </w:pPr>
    <w:rPr>
      <w:rFonts w:ascii="Arial" w:hAnsi="Arial" w:cs="Arial"/>
      <w:sz w:val="24"/>
      <w:szCs w:val="24"/>
    </w:rPr>
  </w:style>
  <w:style w:type="paragraph" w:customStyle="1" w:styleId="xl34">
    <w:name w:val="xl34"/>
    <w:basedOn w:val="Normal"/>
    <w:pPr>
      <w:pBdr>
        <w:top w:val="single" w:sz="8" w:space="0" w:color="auto"/>
        <w:bottom w:val="single" w:sz="12" w:space="0" w:color="auto"/>
      </w:pBdr>
      <w:spacing w:before="100" w:beforeAutospacing="1" w:after="100" w:afterAutospacing="1"/>
    </w:pPr>
    <w:rPr>
      <w:sz w:val="24"/>
      <w:szCs w:val="24"/>
    </w:rPr>
  </w:style>
  <w:style w:type="paragraph" w:customStyle="1" w:styleId="xl35">
    <w:name w:val="xl35"/>
    <w:basedOn w:val="Normal"/>
    <w:pPr>
      <w:pBdr>
        <w:top w:val="single" w:sz="8" w:space="0" w:color="auto"/>
      </w:pBdr>
      <w:spacing w:before="100" w:beforeAutospacing="1" w:after="100" w:afterAutospacing="1"/>
    </w:pPr>
    <w:rPr>
      <w:sz w:val="24"/>
      <w:szCs w:val="24"/>
    </w:rPr>
  </w:style>
  <w:style w:type="paragraph" w:customStyle="1" w:styleId="xl37">
    <w:name w:val="xl37"/>
    <w:basedOn w:val="Normal"/>
    <w:pPr>
      <w:pBdr>
        <w:top w:val="single" w:sz="4" w:space="0" w:color="auto"/>
        <w:bottom w:val="double" w:sz="6" w:space="0" w:color="auto"/>
      </w:pBdr>
      <w:spacing w:before="100" w:beforeAutospacing="1" w:after="100" w:afterAutospacing="1"/>
    </w:pPr>
    <w:rPr>
      <w:sz w:val="24"/>
      <w:szCs w:val="24"/>
    </w:rPr>
  </w:style>
  <w:style w:type="paragraph" w:styleId="BodyText2">
    <w:name w:val="Body Text 2"/>
    <w:basedOn w:val="Normal"/>
    <w:semiHidden/>
    <w:pPr>
      <w:jc w:val="both"/>
    </w:pPr>
    <w:rPr>
      <w:color w:val="0000FF"/>
      <w:sz w:val="24"/>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pPr>
      <w:pBdr>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0">
    <w:name w:val="xl50"/>
    <w:basedOn w:val="Normal"/>
    <w:pPr>
      <w:spacing w:before="100" w:beforeAutospacing="1" w:after="100" w:afterAutospacing="1"/>
    </w:pPr>
    <w:rPr>
      <w:rFonts w:ascii="Arial" w:eastAsia="Arial Unicode MS" w:hAnsi="Arial" w:cs="Arial"/>
      <w:b/>
      <w:bCs/>
      <w:color w:val="000080"/>
      <w:sz w:val="24"/>
      <w:szCs w:val="24"/>
    </w:rPr>
  </w:style>
  <w:style w:type="paragraph" w:customStyle="1" w:styleId="xl51">
    <w:name w:val="xl51"/>
    <w:basedOn w:val="Normal"/>
    <w:pPr>
      <w:pBdr>
        <w:left w:val="single" w:sz="8" w:space="0" w:color="auto"/>
      </w:pBdr>
      <w:spacing w:before="100" w:beforeAutospacing="1" w:after="100" w:afterAutospacing="1"/>
    </w:pPr>
    <w:rPr>
      <w:rFonts w:ascii="Arial" w:eastAsia="Arial Unicode MS" w:hAnsi="Arial" w:cs="Arial"/>
      <w:sz w:val="24"/>
      <w:szCs w:val="24"/>
    </w:rPr>
  </w:style>
  <w:style w:type="paragraph" w:customStyle="1" w:styleId="xl52">
    <w:name w:val="xl52"/>
    <w:basedOn w:val="Normal"/>
    <w:pPr>
      <w:pBdr>
        <w:right w:val="single" w:sz="8" w:space="0" w:color="auto"/>
      </w:pBdr>
      <w:spacing w:before="100" w:beforeAutospacing="1" w:after="100" w:afterAutospacing="1"/>
    </w:pPr>
    <w:rPr>
      <w:rFonts w:ascii="Arial" w:eastAsia="Arial Unicode MS" w:hAnsi="Arial" w:cs="Arial"/>
      <w:sz w:val="24"/>
      <w:szCs w:val="24"/>
    </w:rPr>
  </w:style>
  <w:style w:type="paragraph" w:styleId="BodyText3">
    <w:name w:val="Body Text 3"/>
    <w:basedOn w:val="Normal"/>
    <w:link w:val="BodyText3Char"/>
    <w:semiHidden/>
    <w:pPr>
      <w:jc w:val="both"/>
    </w:pPr>
    <w:rPr>
      <w:color w:val="FF0000"/>
      <w:sz w:val="24"/>
    </w:rPr>
  </w:style>
  <w:style w:type="paragraph" w:customStyle="1" w:styleId="font5">
    <w:name w:val="font5"/>
    <w:basedOn w:val="Normal"/>
    <w:pPr>
      <w:spacing w:before="100" w:beforeAutospacing="1" w:after="100" w:afterAutospacing="1"/>
    </w:pPr>
    <w:rPr>
      <w:rFonts w:ascii="Arial" w:eastAsia="Arial Unicode MS" w:hAnsi="Arial" w:cs="Arial"/>
    </w:rPr>
  </w:style>
  <w:style w:type="character" w:styleId="Hyperlink">
    <w:name w:val="Hyperlink"/>
    <w:semiHidden/>
    <w:rPr>
      <w:color w:val="0000FF"/>
      <w:u w:val="single"/>
    </w:rPr>
  </w:style>
  <w:style w:type="paragraph" w:customStyle="1" w:styleId="font6">
    <w:name w:val="font6"/>
    <w:basedOn w:val="Normal"/>
    <w:pPr>
      <w:spacing w:before="100" w:beforeAutospacing="1" w:after="100" w:afterAutospacing="1"/>
    </w:pPr>
    <w:rPr>
      <w:rFonts w:ascii="Arial" w:eastAsia="Arial Unicode MS" w:hAnsi="Arial" w:cs="Arial"/>
      <w:color w:val="FF0000"/>
      <w:sz w:val="22"/>
      <w:szCs w:val="22"/>
    </w:rPr>
  </w:style>
  <w:style w:type="character" w:styleId="FollowedHyperlink">
    <w:name w:val="FollowedHyperlink"/>
    <w:semiHidden/>
    <w:rPr>
      <w:color w:val="800080"/>
      <w:u w:val="single"/>
    </w:rPr>
  </w:style>
  <w:style w:type="paragraph" w:customStyle="1" w:styleId="Bullet1">
    <w:name w:val="Bullet 1"/>
    <w:basedOn w:val="Normal"/>
    <w:pPr>
      <w:numPr>
        <w:numId w:val="11"/>
      </w:numPr>
    </w:pPr>
    <w:rPr>
      <w:sz w:val="22"/>
      <w:szCs w:val="24"/>
    </w:rPr>
  </w:style>
  <w:style w:type="paragraph" w:customStyle="1" w:styleId="xl65">
    <w:name w:val="xl65"/>
    <w:basedOn w:val="Normal"/>
    <w:pPr>
      <w:spacing w:before="100" w:beforeAutospacing="1" w:after="100" w:afterAutospacing="1"/>
    </w:pPr>
    <w:rPr>
      <w:rFonts w:ascii="Arial" w:eastAsia="Arial Unicode MS" w:hAnsi="Arial" w:cs="Arial"/>
      <w:sz w:val="22"/>
      <w:szCs w:val="22"/>
    </w:rPr>
  </w:style>
  <w:style w:type="paragraph" w:customStyle="1" w:styleId="xl66">
    <w:name w:val="xl66"/>
    <w:basedOn w:val="Normal"/>
    <w:pPr>
      <w:pBdr>
        <w:top w:val="single" w:sz="12" w:space="0" w:color="auto"/>
        <w:bottom w:val="single" w:sz="12" w:space="0" w:color="auto"/>
      </w:pBdr>
      <w:spacing w:before="100" w:beforeAutospacing="1" w:after="100" w:afterAutospacing="1"/>
    </w:pPr>
    <w:rPr>
      <w:rFonts w:ascii="Arial" w:eastAsia="Arial Unicode MS" w:hAnsi="Arial" w:cs="Arial"/>
      <w:b/>
      <w:bCs/>
      <w:sz w:val="22"/>
      <w:szCs w:val="22"/>
    </w:rPr>
  </w:style>
  <w:style w:type="paragraph" w:customStyle="1" w:styleId="xl67">
    <w:name w:val="xl67"/>
    <w:basedOn w:val="Normal"/>
    <w:pPr>
      <w:pBdr>
        <w:top w:val="single" w:sz="8" w:space="0" w:color="auto"/>
        <w:bottom w:val="single" w:sz="8"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Normal"/>
    <w:pPr>
      <w:pBdr>
        <w:top w:val="single" w:sz="8" w:space="0" w:color="auto"/>
      </w:pBdr>
      <w:spacing w:before="100" w:beforeAutospacing="1" w:after="100" w:afterAutospacing="1"/>
    </w:pPr>
    <w:rPr>
      <w:rFonts w:ascii="Arial" w:eastAsia="Arial Unicode MS" w:hAnsi="Arial" w:cs="Arial"/>
      <w:sz w:val="22"/>
      <w:szCs w:val="22"/>
    </w:rPr>
  </w:style>
  <w:style w:type="paragraph" w:customStyle="1" w:styleId="xl69">
    <w:name w:val="xl69"/>
    <w:basedOn w:val="Normal"/>
    <w:pPr>
      <w:spacing w:before="100" w:beforeAutospacing="1" w:after="100" w:afterAutospacing="1"/>
      <w:jc w:val="right"/>
    </w:pPr>
    <w:rPr>
      <w:rFonts w:ascii="Arial" w:eastAsia="Arial Unicode MS" w:hAnsi="Arial" w:cs="Arial"/>
      <w:sz w:val="22"/>
      <w:szCs w:val="22"/>
    </w:rPr>
  </w:style>
  <w:style w:type="paragraph" w:customStyle="1" w:styleId="xl70">
    <w:name w:val="xl70"/>
    <w:basedOn w:val="Normal"/>
    <w:pPr>
      <w:spacing w:before="100" w:beforeAutospacing="1" w:after="100" w:afterAutospacing="1"/>
    </w:pPr>
    <w:rPr>
      <w:rFonts w:ascii="Arial" w:eastAsia="Arial Unicode MS" w:hAnsi="Arial" w:cs="Arial"/>
      <w:sz w:val="22"/>
      <w:szCs w:val="22"/>
    </w:rPr>
  </w:style>
  <w:style w:type="paragraph" w:customStyle="1" w:styleId="xl71">
    <w:name w:val="xl71"/>
    <w:basedOn w:val="Normal"/>
    <w:pPr>
      <w:pBdr>
        <w:top w:val="single" w:sz="12" w:space="0" w:color="auto"/>
        <w:bottom w:val="single" w:sz="12" w:space="0" w:color="auto"/>
      </w:pBdr>
      <w:spacing w:before="100" w:beforeAutospacing="1" w:after="100" w:afterAutospacing="1"/>
    </w:pPr>
    <w:rPr>
      <w:rFonts w:ascii="Arial" w:eastAsia="Arial Unicode MS" w:hAnsi="Arial" w:cs="Arial"/>
      <w:b/>
      <w:bCs/>
      <w:sz w:val="22"/>
      <w:szCs w:val="22"/>
    </w:rPr>
  </w:style>
  <w:style w:type="paragraph" w:customStyle="1" w:styleId="xl72">
    <w:name w:val="xl72"/>
    <w:basedOn w:val="Normal"/>
    <w:pPr>
      <w:pBdr>
        <w:top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Normal"/>
    <w:pPr>
      <w:spacing w:before="100" w:beforeAutospacing="1" w:after="100" w:afterAutospacing="1"/>
    </w:pPr>
    <w:rPr>
      <w:rFonts w:ascii="Arial Unicode MS" w:eastAsia="Arial Unicode MS" w:hAnsi="Arial Unicode MS" w:cs="Arial Unicode MS"/>
      <w:sz w:val="22"/>
      <w:szCs w:val="22"/>
    </w:rPr>
  </w:style>
  <w:style w:type="paragraph" w:customStyle="1" w:styleId="xl74">
    <w:name w:val="xl74"/>
    <w:basedOn w:val="Normal"/>
    <w:pPr>
      <w:pBdr>
        <w:top w:val="single" w:sz="12" w:space="0" w:color="auto"/>
        <w:bottom w:val="single" w:sz="12" w:space="0" w:color="auto"/>
      </w:pBdr>
      <w:spacing w:before="100" w:beforeAutospacing="1" w:after="100" w:afterAutospacing="1"/>
      <w:jc w:val="right"/>
    </w:pPr>
    <w:rPr>
      <w:rFonts w:ascii="Arial" w:eastAsia="Arial Unicode MS" w:hAnsi="Arial" w:cs="Arial"/>
      <w:b/>
      <w:bCs/>
      <w:sz w:val="22"/>
      <w:szCs w:val="22"/>
    </w:rPr>
  </w:style>
  <w:style w:type="paragraph" w:customStyle="1" w:styleId="xl75">
    <w:name w:val="xl75"/>
    <w:basedOn w:val="Normal"/>
    <w:pPr>
      <w:spacing w:before="100" w:beforeAutospacing="1" w:after="100" w:afterAutospacing="1"/>
      <w:jc w:val="center"/>
    </w:pPr>
    <w:rPr>
      <w:rFonts w:ascii="Arial" w:eastAsia="Arial Unicode MS" w:hAnsi="Arial" w:cs="Arial"/>
      <w:b/>
      <w:bCs/>
      <w:sz w:val="22"/>
      <w:szCs w:val="22"/>
    </w:rPr>
  </w:style>
  <w:style w:type="paragraph" w:customStyle="1" w:styleId="xl76">
    <w:name w:val="xl76"/>
    <w:basedOn w:val="Normal"/>
    <w:pPr>
      <w:spacing w:before="100" w:beforeAutospacing="1" w:after="100" w:afterAutospacing="1"/>
    </w:pPr>
    <w:rPr>
      <w:rFonts w:ascii="Arial Unicode MS" w:eastAsia="Arial Unicode MS" w:hAnsi="Arial Unicode MS" w:cs="Arial Unicode MS"/>
      <w:sz w:val="22"/>
      <w:szCs w:val="22"/>
    </w:rPr>
  </w:style>
  <w:style w:type="paragraph" w:customStyle="1" w:styleId="xl77">
    <w:name w:val="xl77"/>
    <w:basedOn w:val="Normal"/>
    <w:pPr>
      <w:spacing w:before="100" w:beforeAutospacing="1" w:after="100" w:afterAutospacing="1"/>
    </w:pPr>
    <w:rPr>
      <w:rFonts w:ascii="Webdings" w:eastAsia="Arial Unicode MS" w:hAnsi="Webdings" w:cs="Arial Unicode MS"/>
      <w:color w:val="FF0000"/>
      <w:sz w:val="22"/>
      <w:szCs w:val="22"/>
    </w:rPr>
  </w:style>
  <w:style w:type="paragraph" w:customStyle="1" w:styleId="xl78">
    <w:name w:val="xl78"/>
    <w:basedOn w:val="Normal"/>
    <w:pPr>
      <w:spacing w:before="100" w:beforeAutospacing="1" w:after="100" w:afterAutospacing="1"/>
    </w:pPr>
    <w:rPr>
      <w:rFonts w:ascii="Arial" w:eastAsia="Arial Unicode MS" w:hAnsi="Arial" w:cs="Arial"/>
      <w:b/>
      <w:bCs/>
      <w:sz w:val="22"/>
      <w:szCs w:val="22"/>
    </w:rPr>
  </w:style>
  <w:style w:type="paragraph" w:customStyle="1" w:styleId="xl79">
    <w:name w:val="xl79"/>
    <w:basedOn w:val="Normal"/>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80">
    <w:name w:val="xl80"/>
    <w:basedOn w:val="Normal"/>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81">
    <w:name w:val="xl81"/>
    <w:basedOn w:val="Normal"/>
    <w:pPr>
      <w:spacing w:before="100" w:beforeAutospacing="1" w:after="100" w:afterAutospacing="1"/>
    </w:pPr>
    <w:rPr>
      <w:rFonts w:ascii="Arial" w:eastAsia="Arial Unicode MS" w:hAnsi="Arial" w:cs="Arial"/>
      <w:color w:val="0000FF"/>
      <w:sz w:val="22"/>
      <w:szCs w:val="22"/>
    </w:rPr>
  </w:style>
  <w:style w:type="paragraph" w:customStyle="1" w:styleId="xl82">
    <w:name w:val="xl82"/>
    <w:basedOn w:val="Normal"/>
    <w:pPr>
      <w:pBdr>
        <w:top w:val="single" w:sz="4" w:space="0" w:color="auto"/>
      </w:pBdr>
      <w:spacing w:before="100" w:beforeAutospacing="1" w:after="100" w:afterAutospacing="1"/>
      <w:jc w:val="right"/>
    </w:pPr>
    <w:rPr>
      <w:rFonts w:ascii="Arial" w:eastAsia="Arial Unicode MS" w:hAnsi="Arial" w:cs="Arial"/>
      <w:sz w:val="22"/>
      <w:szCs w:val="22"/>
    </w:rPr>
  </w:style>
  <w:style w:type="paragraph" w:customStyle="1" w:styleId="xl83">
    <w:name w:val="xl83"/>
    <w:basedOn w:val="Normal"/>
    <w:pPr>
      <w:pBdr>
        <w:top w:val="single" w:sz="8" w:space="0" w:color="auto"/>
        <w:bottom w:val="single" w:sz="8" w:space="0" w:color="auto"/>
      </w:pBdr>
      <w:spacing w:before="100" w:beforeAutospacing="1" w:after="100" w:afterAutospacing="1"/>
      <w:jc w:val="right"/>
    </w:pPr>
    <w:rPr>
      <w:rFonts w:ascii="Arial" w:eastAsia="Arial Unicode MS" w:hAnsi="Arial" w:cs="Arial"/>
      <w:sz w:val="22"/>
      <w:szCs w:val="22"/>
    </w:rPr>
  </w:style>
  <w:style w:type="paragraph" w:customStyle="1" w:styleId="xl84">
    <w:name w:val="xl84"/>
    <w:basedOn w:val="Normal"/>
    <w:pPr>
      <w:pBdr>
        <w:bottom w:val="single" w:sz="8" w:space="0" w:color="auto"/>
      </w:pBdr>
      <w:spacing w:before="100" w:beforeAutospacing="1" w:after="100" w:afterAutospacing="1"/>
      <w:jc w:val="right"/>
    </w:pPr>
    <w:rPr>
      <w:rFonts w:ascii="Arial" w:eastAsia="Arial Unicode MS" w:hAnsi="Arial" w:cs="Arial"/>
      <w:sz w:val="22"/>
      <w:szCs w:val="22"/>
    </w:rPr>
  </w:style>
  <w:style w:type="paragraph" w:customStyle="1" w:styleId="xl85">
    <w:name w:val="xl85"/>
    <w:basedOn w:val="Normal"/>
    <w:pPr>
      <w:pBdr>
        <w:top w:val="single" w:sz="8" w:space="0" w:color="auto"/>
      </w:pBdr>
      <w:spacing w:before="100" w:beforeAutospacing="1" w:after="100" w:afterAutospacing="1"/>
      <w:jc w:val="right"/>
    </w:pPr>
    <w:rPr>
      <w:rFonts w:ascii="Arial" w:eastAsia="Arial Unicode MS" w:hAnsi="Arial" w:cs="Arial"/>
      <w:sz w:val="22"/>
      <w:szCs w:val="22"/>
    </w:rPr>
  </w:style>
  <w:style w:type="paragraph" w:customStyle="1" w:styleId="xl86">
    <w:name w:val="xl86"/>
    <w:basedOn w:val="Normal"/>
    <w:pPr>
      <w:pBdr>
        <w:top w:val="single" w:sz="12" w:space="0" w:color="auto"/>
        <w:bottom w:val="single" w:sz="12" w:space="0" w:color="auto"/>
      </w:pBdr>
      <w:spacing w:before="100" w:beforeAutospacing="1" w:after="100" w:afterAutospacing="1"/>
    </w:pPr>
    <w:rPr>
      <w:rFonts w:ascii="Arial" w:eastAsia="Arial Unicode MS" w:hAnsi="Arial" w:cs="Arial"/>
      <w:b/>
      <w:bCs/>
      <w:sz w:val="22"/>
      <w:szCs w:val="22"/>
    </w:rPr>
  </w:style>
  <w:style w:type="paragraph" w:customStyle="1" w:styleId="xl87">
    <w:name w:val="xl87"/>
    <w:basedOn w:val="Normal"/>
    <w:pPr>
      <w:pBdr>
        <w:top w:val="single" w:sz="12" w:space="0" w:color="auto"/>
        <w:bottom w:val="single" w:sz="12" w:space="0" w:color="auto"/>
      </w:pBdr>
      <w:spacing w:before="100" w:beforeAutospacing="1" w:after="100" w:afterAutospacing="1"/>
      <w:jc w:val="right"/>
    </w:pPr>
    <w:rPr>
      <w:rFonts w:ascii="Arial" w:eastAsia="Arial Unicode MS" w:hAnsi="Arial" w:cs="Arial"/>
      <w:b/>
      <w:bCs/>
      <w:sz w:val="22"/>
      <w:szCs w:val="22"/>
    </w:rPr>
  </w:style>
  <w:style w:type="paragraph" w:styleId="BlockText">
    <w:name w:val="Block Text"/>
    <w:basedOn w:val="Normal"/>
    <w:semiHidden/>
    <w:pPr>
      <w:autoSpaceDE w:val="0"/>
      <w:autoSpaceDN w:val="0"/>
      <w:adjustRightInd w:val="0"/>
      <w:ind w:left="1276" w:right="-474"/>
    </w:pPr>
    <w:rPr>
      <w:rFonts w:ascii="Arial" w:hAnsi="Arial" w:cs="Arial"/>
      <w:sz w:val="22"/>
      <w:lang w:val="en-US"/>
    </w:rPr>
  </w:style>
  <w:style w:type="character" w:customStyle="1" w:styleId="emailstyle15">
    <w:name w:val="emailstyle15"/>
    <w:semiHidden/>
    <w:rPr>
      <w:rFonts w:ascii="Arial" w:hAnsi="Arial" w:cs="Arial" w:hint="default"/>
      <w:color w:val="000000"/>
      <w:sz w:val="20"/>
      <w:szCs w:val="20"/>
    </w:rPr>
  </w:style>
  <w:style w:type="character" w:styleId="Emphasis">
    <w:name w:val="Emphasis"/>
    <w:basedOn w:val="DefaultParagraphFont"/>
    <w:qFormat/>
    <w:rPr>
      <w:i/>
      <w:iCs/>
    </w:rPr>
  </w:style>
  <w:style w:type="character" w:styleId="Strong">
    <w:name w:val="Strong"/>
    <w:basedOn w:val="DefaultParagraphFont"/>
    <w:qFormat/>
    <w:rPr>
      <w:b/>
      <w:bCs/>
    </w:rPr>
  </w:style>
  <w:style w:type="paragraph" w:customStyle="1" w:styleId="inlinenormal">
    <w:name w:val="inlinenormal"/>
    <w:basedOn w:val="Normal"/>
    <w:pPr>
      <w:autoSpaceDN w:val="0"/>
      <w:spacing w:before="120" w:after="60" w:line="264" w:lineRule="auto"/>
    </w:pPr>
    <w:rPr>
      <w:rFonts w:ascii="Arial" w:hAnsi="Arial" w:cs="Arial"/>
      <w:sz w:val="24"/>
      <w:szCs w:val="24"/>
      <w:lang w:eastAsia="en-GB"/>
    </w:rPr>
  </w:style>
  <w:style w:type="paragraph" w:styleId="BalloonText">
    <w:name w:val="Balloon Text"/>
    <w:basedOn w:val="Normal"/>
    <w:link w:val="BalloonTextChar"/>
    <w:uiPriority w:val="99"/>
    <w:semiHidden/>
    <w:unhideWhenUsed/>
    <w:rsid w:val="00C42B35"/>
    <w:rPr>
      <w:rFonts w:ascii="Tahoma" w:hAnsi="Tahoma" w:cs="Tahoma"/>
      <w:sz w:val="16"/>
      <w:szCs w:val="16"/>
    </w:rPr>
  </w:style>
  <w:style w:type="character" w:customStyle="1" w:styleId="BalloonTextChar">
    <w:name w:val="Balloon Text Char"/>
    <w:basedOn w:val="DefaultParagraphFont"/>
    <w:link w:val="BalloonText"/>
    <w:uiPriority w:val="99"/>
    <w:semiHidden/>
    <w:rsid w:val="00C42B35"/>
    <w:rPr>
      <w:rFonts w:ascii="Tahoma" w:hAnsi="Tahoma" w:cs="Tahoma"/>
      <w:sz w:val="16"/>
      <w:szCs w:val="16"/>
      <w:lang w:eastAsia="en-US"/>
    </w:rPr>
  </w:style>
  <w:style w:type="character" w:customStyle="1" w:styleId="Heading1Char">
    <w:name w:val="Heading 1 Char"/>
    <w:link w:val="Heading1"/>
    <w:rsid w:val="00564415"/>
    <w:rPr>
      <w:sz w:val="24"/>
      <w:lang w:eastAsia="en-US"/>
    </w:rPr>
  </w:style>
  <w:style w:type="character" w:customStyle="1" w:styleId="Heading2Char">
    <w:name w:val="Heading 2 Char"/>
    <w:link w:val="Heading2"/>
    <w:rsid w:val="00564415"/>
    <w:rPr>
      <w:sz w:val="24"/>
      <w:lang w:eastAsia="en-US"/>
    </w:rPr>
  </w:style>
  <w:style w:type="character" w:customStyle="1" w:styleId="Heading3Char">
    <w:name w:val="Heading 3 Char"/>
    <w:link w:val="Heading3"/>
    <w:rsid w:val="00564415"/>
    <w:rPr>
      <w:b/>
      <w:sz w:val="24"/>
      <w:lang w:eastAsia="en-US"/>
    </w:rPr>
  </w:style>
  <w:style w:type="character" w:customStyle="1" w:styleId="Heading6Char">
    <w:name w:val="Heading 6 Char"/>
    <w:link w:val="Heading6"/>
    <w:rsid w:val="00564415"/>
    <w:rPr>
      <w:b/>
      <w:color w:val="000080"/>
      <w:sz w:val="24"/>
      <w:lang w:eastAsia="en-US"/>
    </w:rPr>
  </w:style>
  <w:style w:type="character" w:customStyle="1" w:styleId="BodyTextChar">
    <w:name w:val="Body Text Char"/>
    <w:link w:val="BodyText"/>
    <w:semiHidden/>
    <w:rsid w:val="00564415"/>
    <w:rPr>
      <w:sz w:val="24"/>
      <w:lang w:eastAsia="en-US"/>
    </w:rPr>
  </w:style>
  <w:style w:type="character" w:customStyle="1" w:styleId="SubtitleChar">
    <w:name w:val="Subtitle Char"/>
    <w:link w:val="Subtitle"/>
    <w:rsid w:val="00564415"/>
    <w:rPr>
      <w:b/>
      <w:color w:val="000080"/>
      <w:sz w:val="24"/>
      <w:lang w:eastAsia="en-US"/>
    </w:rPr>
  </w:style>
  <w:style w:type="character" w:customStyle="1" w:styleId="BodyText3Char">
    <w:name w:val="Body Text 3 Char"/>
    <w:link w:val="BodyText3"/>
    <w:semiHidden/>
    <w:rsid w:val="00564415"/>
    <w:rPr>
      <w:color w:val="FF0000"/>
      <w:sz w:val="24"/>
      <w:lang w:eastAsia="en-US"/>
    </w:rPr>
  </w:style>
  <w:style w:type="character" w:customStyle="1" w:styleId="BodyTextIndentChar">
    <w:name w:val="Body Text Indent Char"/>
    <w:link w:val="BodyTextIndent"/>
    <w:semiHidden/>
    <w:rsid w:val="00F208F8"/>
    <w:rPr>
      <w:sz w:val="24"/>
      <w:lang w:eastAsia="en-US"/>
    </w:rPr>
  </w:style>
  <w:style w:type="character" w:customStyle="1" w:styleId="BodyTextIndent2Char">
    <w:name w:val="Body Text Indent 2 Char"/>
    <w:link w:val="BodyTextIndent2"/>
    <w:semiHidden/>
    <w:rsid w:val="00F208F8"/>
    <w:rPr>
      <w:sz w:val="24"/>
      <w:lang w:eastAsia="en-US"/>
    </w:rPr>
  </w:style>
  <w:style w:type="character" w:customStyle="1" w:styleId="BodyTextIndent3Char">
    <w:name w:val="Body Text Indent 3 Char"/>
    <w:link w:val="BodyTextIndent3"/>
    <w:semiHidden/>
    <w:rsid w:val="00F208F8"/>
    <w:rPr>
      <w:sz w:val="24"/>
      <w:lang w:eastAsia="en-US"/>
    </w:rPr>
  </w:style>
  <w:style w:type="paragraph" w:styleId="ListParagraph">
    <w:name w:val="List Paragraph"/>
    <w:basedOn w:val="Normal"/>
    <w:link w:val="ListParagraphChar"/>
    <w:qFormat/>
    <w:rsid w:val="007D5D5E"/>
    <w:pPr>
      <w:ind w:left="720"/>
      <w:contextualSpacing/>
    </w:pPr>
  </w:style>
  <w:style w:type="character" w:customStyle="1" w:styleId="ListParagraphChar">
    <w:name w:val="List Paragraph Char"/>
    <w:basedOn w:val="DefaultParagraphFont"/>
    <w:link w:val="ListParagraph"/>
    <w:locked/>
    <w:rsid w:val="0015594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link w:val="Heading2Char"/>
    <w:qFormat/>
    <w:pPr>
      <w:keepNext/>
      <w:jc w:val="center"/>
      <w:outlineLvl w:val="1"/>
    </w:pPr>
    <w:rPr>
      <w:sz w:val="24"/>
    </w:rPr>
  </w:style>
  <w:style w:type="paragraph" w:styleId="Heading3">
    <w:name w:val="heading 3"/>
    <w:basedOn w:val="Normal"/>
    <w:next w:val="Normal"/>
    <w:link w:val="Heading3Char"/>
    <w:qFormat/>
    <w:pPr>
      <w:keepNext/>
      <w:jc w:val="both"/>
      <w:outlineLvl w:val="2"/>
    </w:pPr>
    <w:rPr>
      <w:b/>
      <w:sz w:val="24"/>
    </w:rPr>
  </w:style>
  <w:style w:type="paragraph" w:styleId="Heading4">
    <w:name w:val="heading 4"/>
    <w:basedOn w:val="Normal"/>
    <w:next w:val="Normal"/>
    <w:qFormat/>
    <w:pPr>
      <w:keepNext/>
      <w:jc w:val="both"/>
      <w:outlineLvl w:val="3"/>
    </w:pPr>
    <w:rPr>
      <w:sz w:val="24"/>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link w:val="Heading6Char"/>
    <w:qFormat/>
    <w:pPr>
      <w:keepNext/>
      <w:jc w:val="both"/>
      <w:outlineLvl w:val="5"/>
    </w:pPr>
    <w:rPr>
      <w:b/>
      <w:color w:val="000080"/>
      <w:sz w:val="24"/>
    </w:rPr>
  </w:style>
  <w:style w:type="paragraph" w:styleId="Heading7">
    <w:name w:val="heading 7"/>
    <w:basedOn w:val="Normal"/>
    <w:next w:val="Normal"/>
    <w:qFormat/>
    <w:pPr>
      <w:keepNext/>
      <w:ind w:firstLine="426"/>
      <w:jc w:val="both"/>
      <w:outlineLvl w:val="6"/>
    </w:pPr>
    <w:rPr>
      <w:color w:val="000080"/>
      <w:sz w:val="24"/>
    </w:rPr>
  </w:style>
  <w:style w:type="paragraph" w:styleId="Heading8">
    <w:name w:val="heading 8"/>
    <w:basedOn w:val="Normal"/>
    <w:next w:val="Normal"/>
    <w:qFormat/>
    <w:pPr>
      <w:keepNext/>
      <w:ind w:firstLine="426"/>
      <w:jc w:val="both"/>
      <w:outlineLvl w:val="7"/>
    </w:pPr>
    <w:rPr>
      <w:sz w:val="24"/>
    </w:rPr>
  </w:style>
  <w:style w:type="paragraph" w:styleId="Heading9">
    <w:name w:val="heading 9"/>
    <w:basedOn w:val="Normal"/>
    <w:next w:val="Normal"/>
    <w:qFormat/>
    <w:pPr>
      <w:keepNext/>
      <w:tabs>
        <w:tab w:val="num" w:pos="360"/>
      </w:tabs>
      <w:ind w:left="426" w:firstLine="66"/>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Caption">
    <w:name w:val="caption"/>
    <w:basedOn w:val="Normal"/>
    <w:next w:val="Normal"/>
    <w:qFormat/>
    <w:pPr>
      <w:spacing w:before="120" w:after="120"/>
    </w:pPr>
    <w:rPr>
      <w:b/>
    </w:rPr>
  </w:style>
  <w:style w:type="paragraph" w:styleId="BodyText">
    <w:name w:val="Body Text"/>
    <w:basedOn w:val="Normal"/>
    <w:link w:val="BodyTextChar"/>
    <w:semiHidden/>
    <w:pPr>
      <w:jc w:val="both"/>
    </w:pPr>
    <w:rPr>
      <w:sz w:val="24"/>
    </w:rPr>
  </w:style>
  <w:style w:type="paragraph" w:styleId="BodyTextIndent">
    <w:name w:val="Body Text Indent"/>
    <w:basedOn w:val="Normal"/>
    <w:link w:val="BodyTextIndentChar"/>
    <w:semiHidden/>
    <w:pPr>
      <w:ind w:left="360"/>
      <w:jc w:val="both"/>
    </w:pPr>
    <w:rPr>
      <w:sz w:val="24"/>
    </w:rPr>
  </w:style>
  <w:style w:type="character" w:styleId="PageNumber">
    <w:name w:val="page number"/>
    <w:basedOn w:val="DefaultParagraphFont"/>
    <w:semiHidden/>
  </w:style>
  <w:style w:type="paragraph" w:styleId="Title">
    <w:name w:val="Title"/>
    <w:basedOn w:val="Normal"/>
    <w:qFormat/>
    <w:pPr>
      <w:jc w:val="center"/>
    </w:pPr>
    <w:rPr>
      <w:b/>
    </w:rPr>
  </w:style>
  <w:style w:type="paragraph" w:styleId="BodyTextIndent2">
    <w:name w:val="Body Text Indent 2"/>
    <w:basedOn w:val="Normal"/>
    <w:link w:val="BodyTextIndent2Char"/>
    <w:semiHidden/>
    <w:pPr>
      <w:ind w:left="567"/>
      <w:jc w:val="both"/>
    </w:pPr>
    <w:rPr>
      <w:sz w:val="24"/>
    </w:rPr>
  </w:style>
  <w:style w:type="paragraph" w:styleId="BodyTextIndent3">
    <w:name w:val="Body Text Indent 3"/>
    <w:basedOn w:val="Normal"/>
    <w:link w:val="BodyTextIndent3Char"/>
    <w:semiHidden/>
    <w:pPr>
      <w:ind w:left="284"/>
      <w:jc w:val="both"/>
    </w:pPr>
    <w:rPr>
      <w:sz w:val="24"/>
    </w:rPr>
  </w:style>
  <w:style w:type="paragraph" w:styleId="Subtitle">
    <w:name w:val="Subtitle"/>
    <w:basedOn w:val="Normal"/>
    <w:link w:val="SubtitleChar"/>
    <w:qFormat/>
    <w:rPr>
      <w:b/>
      <w:color w:val="000080"/>
      <w:sz w:val="24"/>
    </w:rPr>
  </w:style>
  <w:style w:type="paragraph" w:customStyle="1" w:styleId="xl24">
    <w:name w:val="xl24"/>
    <w:basedOn w:val="Normal"/>
    <w:pPr>
      <w:spacing w:before="100" w:beforeAutospacing="1" w:after="100" w:afterAutospacing="1"/>
      <w:jc w:val="center"/>
    </w:pPr>
    <w:rPr>
      <w:sz w:val="24"/>
      <w:szCs w:val="24"/>
    </w:rPr>
  </w:style>
  <w:style w:type="paragraph" w:customStyle="1" w:styleId="xl26">
    <w:name w:val="xl26"/>
    <w:basedOn w:val="Normal"/>
    <w:pPr>
      <w:pBdr>
        <w:bottom w:val="single" w:sz="4" w:space="0" w:color="auto"/>
      </w:pBdr>
      <w:spacing w:before="100" w:beforeAutospacing="1" w:after="100" w:afterAutospacing="1"/>
    </w:pPr>
    <w:rPr>
      <w:sz w:val="24"/>
      <w:szCs w:val="24"/>
    </w:rPr>
  </w:style>
  <w:style w:type="paragraph" w:customStyle="1" w:styleId="xl28">
    <w:name w:val="xl28"/>
    <w:basedOn w:val="Normal"/>
    <w:pPr>
      <w:pBdr>
        <w:bottom w:val="single" w:sz="4" w:space="0" w:color="auto"/>
      </w:pBdr>
      <w:spacing w:before="100" w:beforeAutospacing="1" w:after="100" w:afterAutospacing="1"/>
    </w:pPr>
    <w:rPr>
      <w:sz w:val="24"/>
      <w:szCs w:val="24"/>
    </w:rPr>
  </w:style>
  <w:style w:type="paragraph" w:customStyle="1" w:styleId="xl30">
    <w:name w:val="xl30"/>
    <w:basedOn w:val="Normal"/>
    <w:pPr>
      <w:pBdr>
        <w:bottom w:val="single" w:sz="12" w:space="0" w:color="auto"/>
      </w:pBdr>
      <w:spacing w:before="100" w:beforeAutospacing="1" w:after="100" w:afterAutospacing="1"/>
    </w:pPr>
    <w:rPr>
      <w:sz w:val="24"/>
      <w:szCs w:val="24"/>
    </w:rPr>
  </w:style>
  <w:style w:type="paragraph" w:customStyle="1" w:styleId="xl31">
    <w:name w:val="xl31"/>
    <w:basedOn w:val="Normal"/>
    <w:pPr>
      <w:pBdr>
        <w:top w:val="single" w:sz="8" w:space="0" w:color="auto"/>
        <w:bottom w:val="single" w:sz="12" w:space="0" w:color="auto"/>
      </w:pBdr>
      <w:spacing w:before="100" w:beforeAutospacing="1" w:after="100" w:afterAutospacing="1"/>
    </w:pPr>
    <w:rPr>
      <w:sz w:val="24"/>
      <w:szCs w:val="24"/>
    </w:rPr>
  </w:style>
  <w:style w:type="paragraph" w:customStyle="1" w:styleId="xl32">
    <w:name w:val="xl32"/>
    <w:basedOn w:val="Normal"/>
    <w:pPr>
      <w:pBdr>
        <w:top w:val="single" w:sz="8" w:space="0" w:color="auto"/>
        <w:bottom w:val="single" w:sz="12" w:space="0" w:color="auto"/>
      </w:pBdr>
      <w:spacing w:before="100" w:beforeAutospacing="1" w:after="100" w:afterAutospacing="1"/>
    </w:pPr>
    <w:rPr>
      <w:sz w:val="24"/>
      <w:szCs w:val="24"/>
    </w:rPr>
  </w:style>
  <w:style w:type="paragraph" w:customStyle="1" w:styleId="xl33">
    <w:name w:val="xl33"/>
    <w:basedOn w:val="Normal"/>
    <w:pPr>
      <w:pBdr>
        <w:top w:val="single" w:sz="8" w:space="0" w:color="auto"/>
      </w:pBdr>
      <w:spacing w:before="100" w:beforeAutospacing="1" w:after="100" w:afterAutospacing="1"/>
    </w:pPr>
    <w:rPr>
      <w:sz w:val="24"/>
      <w:szCs w:val="24"/>
    </w:rPr>
  </w:style>
  <w:style w:type="paragraph" w:customStyle="1" w:styleId="xl25">
    <w:name w:val="xl25"/>
    <w:basedOn w:val="Normal"/>
    <w:pPr>
      <w:spacing w:before="100" w:beforeAutospacing="1" w:after="100" w:afterAutospacing="1"/>
    </w:pPr>
    <w:rPr>
      <w:rFonts w:ascii="Arial" w:hAnsi="Arial" w:cs="Arial"/>
      <w:b/>
      <w:bCs/>
      <w:sz w:val="24"/>
      <w:szCs w:val="24"/>
    </w:rPr>
  </w:style>
  <w:style w:type="paragraph" w:customStyle="1" w:styleId="xl27">
    <w:name w:val="xl27"/>
    <w:basedOn w:val="Normal"/>
    <w:pPr>
      <w:spacing w:before="100" w:beforeAutospacing="1" w:after="100" w:afterAutospacing="1"/>
      <w:jc w:val="center"/>
    </w:pPr>
    <w:rPr>
      <w:rFonts w:ascii="Arial" w:hAnsi="Arial" w:cs="Arial"/>
      <w:sz w:val="24"/>
      <w:szCs w:val="24"/>
    </w:rPr>
  </w:style>
  <w:style w:type="paragraph" w:customStyle="1" w:styleId="xl29">
    <w:name w:val="xl29"/>
    <w:basedOn w:val="Normal"/>
    <w:pPr>
      <w:pBdr>
        <w:top w:val="single" w:sz="8" w:space="0" w:color="auto"/>
      </w:pBdr>
      <w:spacing w:before="100" w:beforeAutospacing="1" w:after="100" w:afterAutospacing="1"/>
    </w:pPr>
    <w:rPr>
      <w:rFonts w:ascii="Arial" w:hAnsi="Arial" w:cs="Arial"/>
      <w:sz w:val="24"/>
      <w:szCs w:val="24"/>
    </w:rPr>
  </w:style>
  <w:style w:type="paragraph" w:customStyle="1" w:styleId="xl34">
    <w:name w:val="xl34"/>
    <w:basedOn w:val="Normal"/>
    <w:pPr>
      <w:pBdr>
        <w:top w:val="single" w:sz="8" w:space="0" w:color="auto"/>
        <w:bottom w:val="single" w:sz="12" w:space="0" w:color="auto"/>
      </w:pBdr>
      <w:spacing w:before="100" w:beforeAutospacing="1" w:after="100" w:afterAutospacing="1"/>
    </w:pPr>
    <w:rPr>
      <w:sz w:val="24"/>
      <w:szCs w:val="24"/>
    </w:rPr>
  </w:style>
  <w:style w:type="paragraph" w:customStyle="1" w:styleId="xl35">
    <w:name w:val="xl35"/>
    <w:basedOn w:val="Normal"/>
    <w:pPr>
      <w:pBdr>
        <w:top w:val="single" w:sz="8" w:space="0" w:color="auto"/>
      </w:pBdr>
      <w:spacing w:before="100" w:beforeAutospacing="1" w:after="100" w:afterAutospacing="1"/>
    </w:pPr>
    <w:rPr>
      <w:sz w:val="24"/>
      <w:szCs w:val="24"/>
    </w:rPr>
  </w:style>
  <w:style w:type="paragraph" w:customStyle="1" w:styleId="xl37">
    <w:name w:val="xl37"/>
    <w:basedOn w:val="Normal"/>
    <w:pPr>
      <w:pBdr>
        <w:top w:val="single" w:sz="4" w:space="0" w:color="auto"/>
        <w:bottom w:val="double" w:sz="6" w:space="0" w:color="auto"/>
      </w:pBdr>
      <w:spacing w:before="100" w:beforeAutospacing="1" w:after="100" w:afterAutospacing="1"/>
    </w:pPr>
    <w:rPr>
      <w:sz w:val="24"/>
      <w:szCs w:val="24"/>
    </w:rPr>
  </w:style>
  <w:style w:type="paragraph" w:styleId="BodyText2">
    <w:name w:val="Body Text 2"/>
    <w:basedOn w:val="Normal"/>
    <w:semiHidden/>
    <w:pPr>
      <w:jc w:val="both"/>
    </w:pPr>
    <w:rPr>
      <w:color w:val="0000FF"/>
      <w:sz w:val="24"/>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pPr>
      <w:pBdr>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0">
    <w:name w:val="xl50"/>
    <w:basedOn w:val="Normal"/>
    <w:pPr>
      <w:spacing w:before="100" w:beforeAutospacing="1" w:after="100" w:afterAutospacing="1"/>
    </w:pPr>
    <w:rPr>
      <w:rFonts w:ascii="Arial" w:eastAsia="Arial Unicode MS" w:hAnsi="Arial" w:cs="Arial"/>
      <w:b/>
      <w:bCs/>
      <w:color w:val="000080"/>
      <w:sz w:val="24"/>
      <w:szCs w:val="24"/>
    </w:rPr>
  </w:style>
  <w:style w:type="paragraph" w:customStyle="1" w:styleId="xl51">
    <w:name w:val="xl51"/>
    <w:basedOn w:val="Normal"/>
    <w:pPr>
      <w:pBdr>
        <w:left w:val="single" w:sz="8" w:space="0" w:color="auto"/>
      </w:pBdr>
      <w:spacing w:before="100" w:beforeAutospacing="1" w:after="100" w:afterAutospacing="1"/>
    </w:pPr>
    <w:rPr>
      <w:rFonts w:ascii="Arial" w:eastAsia="Arial Unicode MS" w:hAnsi="Arial" w:cs="Arial"/>
      <w:sz w:val="24"/>
      <w:szCs w:val="24"/>
    </w:rPr>
  </w:style>
  <w:style w:type="paragraph" w:customStyle="1" w:styleId="xl52">
    <w:name w:val="xl52"/>
    <w:basedOn w:val="Normal"/>
    <w:pPr>
      <w:pBdr>
        <w:right w:val="single" w:sz="8" w:space="0" w:color="auto"/>
      </w:pBdr>
      <w:spacing w:before="100" w:beforeAutospacing="1" w:after="100" w:afterAutospacing="1"/>
    </w:pPr>
    <w:rPr>
      <w:rFonts w:ascii="Arial" w:eastAsia="Arial Unicode MS" w:hAnsi="Arial" w:cs="Arial"/>
      <w:sz w:val="24"/>
      <w:szCs w:val="24"/>
    </w:rPr>
  </w:style>
  <w:style w:type="paragraph" w:styleId="BodyText3">
    <w:name w:val="Body Text 3"/>
    <w:basedOn w:val="Normal"/>
    <w:link w:val="BodyText3Char"/>
    <w:semiHidden/>
    <w:pPr>
      <w:jc w:val="both"/>
    </w:pPr>
    <w:rPr>
      <w:color w:val="FF0000"/>
      <w:sz w:val="24"/>
    </w:rPr>
  </w:style>
  <w:style w:type="paragraph" w:customStyle="1" w:styleId="font5">
    <w:name w:val="font5"/>
    <w:basedOn w:val="Normal"/>
    <w:pPr>
      <w:spacing w:before="100" w:beforeAutospacing="1" w:after="100" w:afterAutospacing="1"/>
    </w:pPr>
    <w:rPr>
      <w:rFonts w:ascii="Arial" w:eastAsia="Arial Unicode MS" w:hAnsi="Arial" w:cs="Arial"/>
    </w:rPr>
  </w:style>
  <w:style w:type="character" w:styleId="Hyperlink">
    <w:name w:val="Hyperlink"/>
    <w:semiHidden/>
    <w:rPr>
      <w:color w:val="0000FF"/>
      <w:u w:val="single"/>
    </w:rPr>
  </w:style>
  <w:style w:type="paragraph" w:customStyle="1" w:styleId="font6">
    <w:name w:val="font6"/>
    <w:basedOn w:val="Normal"/>
    <w:pPr>
      <w:spacing w:before="100" w:beforeAutospacing="1" w:after="100" w:afterAutospacing="1"/>
    </w:pPr>
    <w:rPr>
      <w:rFonts w:ascii="Arial" w:eastAsia="Arial Unicode MS" w:hAnsi="Arial" w:cs="Arial"/>
      <w:color w:val="FF0000"/>
      <w:sz w:val="22"/>
      <w:szCs w:val="22"/>
    </w:rPr>
  </w:style>
  <w:style w:type="character" w:styleId="FollowedHyperlink">
    <w:name w:val="FollowedHyperlink"/>
    <w:semiHidden/>
    <w:rPr>
      <w:color w:val="800080"/>
      <w:u w:val="single"/>
    </w:rPr>
  </w:style>
  <w:style w:type="paragraph" w:customStyle="1" w:styleId="Bullet1">
    <w:name w:val="Bullet 1"/>
    <w:basedOn w:val="Normal"/>
    <w:pPr>
      <w:numPr>
        <w:numId w:val="11"/>
      </w:numPr>
    </w:pPr>
    <w:rPr>
      <w:sz w:val="22"/>
      <w:szCs w:val="24"/>
    </w:rPr>
  </w:style>
  <w:style w:type="paragraph" w:customStyle="1" w:styleId="xl65">
    <w:name w:val="xl65"/>
    <w:basedOn w:val="Normal"/>
    <w:pPr>
      <w:spacing w:before="100" w:beforeAutospacing="1" w:after="100" w:afterAutospacing="1"/>
    </w:pPr>
    <w:rPr>
      <w:rFonts w:ascii="Arial" w:eastAsia="Arial Unicode MS" w:hAnsi="Arial" w:cs="Arial"/>
      <w:sz w:val="22"/>
      <w:szCs w:val="22"/>
    </w:rPr>
  </w:style>
  <w:style w:type="paragraph" w:customStyle="1" w:styleId="xl66">
    <w:name w:val="xl66"/>
    <w:basedOn w:val="Normal"/>
    <w:pPr>
      <w:pBdr>
        <w:top w:val="single" w:sz="12" w:space="0" w:color="auto"/>
        <w:bottom w:val="single" w:sz="12" w:space="0" w:color="auto"/>
      </w:pBdr>
      <w:spacing w:before="100" w:beforeAutospacing="1" w:after="100" w:afterAutospacing="1"/>
    </w:pPr>
    <w:rPr>
      <w:rFonts w:ascii="Arial" w:eastAsia="Arial Unicode MS" w:hAnsi="Arial" w:cs="Arial"/>
      <w:b/>
      <w:bCs/>
      <w:sz w:val="22"/>
      <w:szCs w:val="22"/>
    </w:rPr>
  </w:style>
  <w:style w:type="paragraph" w:customStyle="1" w:styleId="xl67">
    <w:name w:val="xl67"/>
    <w:basedOn w:val="Normal"/>
    <w:pPr>
      <w:pBdr>
        <w:top w:val="single" w:sz="8" w:space="0" w:color="auto"/>
        <w:bottom w:val="single" w:sz="8"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Normal"/>
    <w:pPr>
      <w:pBdr>
        <w:top w:val="single" w:sz="8" w:space="0" w:color="auto"/>
      </w:pBdr>
      <w:spacing w:before="100" w:beforeAutospacing="1" w:after="100" w:afterAutospacing="1"/>
    </w:pPr>
    <w:rPr>
      <w:rFonts w:ascii="Arial" w:eastAsia="Arial Unicode MS" w:hAnsi="Arial" w:cs="Arial"/>
      <w:sz w:val="22"/>
      <w:szCs w:val="22"/>
    </w:rPr>
  </w:style>
  <w:style w:type="paragraph" w:customStyle="1" w:styleId="xl69">
    <w:name w:val="xl69"/>
    <w:basedOn w:val="Normal"/>
    <w:pPr>
      <w:spacing w:before="100" w:beforeAutospacing="1" w:after="100" w:afterAutospacing="1"/>
      <w:jc w:val="right"/>
    </w:pPr>
    <w:rPr>
      <w:rFonts w:ascii="Arial" w:eastAsia="Arial Unicode MS" w:hAnsi="Arial" w:cs="Arial"/>
      <w:sz w:val="22"/>
      <w:szCs w:val="22"/>
    </w:rPr>
  </w:style>
  <w:style w:type="paragraph" w:customStyle="1" w:styleId="xl70">
    <w:name w:val="xl70"/>
    <w:basedOn w:val="Normal"/>
    <w:pPr>
      <w:spacing w:before="100" w:beforeAutospacing="1" w:after="100" w:afterAutospacing="1"/>
    </w:pPr>
    <w:rPr>
      <w:rFonts w:ascii="Arial" w:eastAsia="Arial Unicode MS" w:hAnsi="Arial" w:cs="Arial"/>
      <w:sz w:val="22"/>
      <w:szCs w:val="22"/>
    </w:rPr>
  </w:style>
  <w:style w:type="paragraph" w:customStyle="1" w:styleId="xl71">
    <w:name w:val="xl71"/>
    <w:basedOn w:val="Normal"/>
    <w:pPr>
      <w:pBdr>
        <w:top w:val="single" w:sz="12" w:space="0" w:color="auto"/>
        <w:bottom w:val="single" w:sz="12" w:space="0" w:color="auto"/>
      </w:pBdr>
      <w:spacing w:before="100" w:beforeAutospacing="1" w:after="100" w:afterAutospacing="1"/>
    </w:pPr>
    <w:rPr>
      <w:rFonts w:ascii="Arial" w:eastAsia="Arial Unicode MS" w:hAnsi="Arial" w:cs="Arial"/>
      <w:b/>
      <w:bCs/>
      <w:sz w:val="22"/>
      <w:szCs w:val="22"/>
    </w:rPr>
  </w:style>
  <w:style w:type="paragraph" w:customStyle="1" w:styleId="xl72">
    <w:name w:val="xl72"/>
    <w:basedOn w:val="Normal"/>
    <w:pPr>
      <w:pBdr>
        <w:top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Normal"/>
    <w:pPr>
      <w:spacing w:before="100" w:beforeAutospacing="1" w:after="100" w:afterAutospacing="1"/>
    </w:pPr>
    <w:rPr>
      <w:rFonts w:ascii="Arial Unicode MS" w:eastAsia="Arial Unicode MS" w:hAnsi="Arial Unicode MS" w:cs="Arial Unicode MS"/>
      <w:sz w:val="22"/>
      <w:szCs w:val="22"/>
    </w:rPr>
  </w:style>
  <w:style w:type="paragraph" w:customStyle="1" w:styleId="xl74">
    <w:name w:val="xl74"/>
    <w:basedOn w:val="Normal"/>
    <w:pPr>
      <w:pBdr>
        <w:top w:val="single" w:sz="12" w:space="0" w:color="auto"/>
        <w:bottom w:val="single" w:sz="12" w:space="0" w:color="auto"/>
      </w:pBdr>
      <w:spacing w:before="100" w:beforeAutospacing="1" w:after="100" w:afterAutospacing="1"/>
      <w:jc w:val="right"/>
    </w:pPr>
    <w:rPr>
      <w:rFonts w:ascii="Arial" w:eastAsia="Arial Unicode MS" w:hAnsi="Arial" w:cs="Arial"/>
      <w:b/>
      <w:bCs/>
      <w:sz w:val="22"/>
      <w:szCs w:val="22"/>
    </w:rPr>
  </w:style>
  <w:style w:type="paragraph" w:customStyle="1" w:styleId="xl75">
    <w:name w:val="xl75"/>
    <w:basedOn w:val="Normal"/>
    <w:pPr>
      <w:spacing w:before="100" w:beforeAutospacing="1" w:after="100" w:afterAutospacing="1"/>
      <w:jc w:val="center"/>
    </w:pPr>
    <w:rPr>
      <w:rFonts w:ascii="Arial" w:eastAsia="Arial Unicode MS" w:hAnsi="Arial" w:cs="Arial"/>
      <w:b/>
      <w:bCs/>
      <w:sz w:val="22"/>
      <w:szCs w:val="22"/>
    </w:rPr>
  </w:style>
  <w:style w:type="paragraph" w:customStyle="1" w:styleId="xl76">
    <w:name w:val="xl76"/>
    <w:basedOn w:val="Normal"/>
    <w:pPr>
      <w:spacing w:before="100" w:beforeAutospacing="1" w:after="100" w:afterAutospacing="1"/>
    </w:pPr>
    <w:rPr>
      <w:rFonts w:ascii="Arial Unicode MS" w:eastAsia="Arial Unicode MS" w:hAnsi="Arial Unicode MS" w:cs="Arial Unicode MS"/>
      <w:sz w:val="22"/>
      <w:szCs w:val="22"/>
    </w:rPr>
  </w:style>
  <w:style w:type="paragraph" w:customStyle="1" w:styleId="xl77">
    <w:name w:val="xl77"/>
    <w:basedOn w:val="Normal"/>
    <w:pPr>
      <w:spacing w:before="100" w:beforeAutospacing="1" w:after="100" w:afterAutospacing="1"/>
    </w:pPr>
    <w:rPr>
      <w:rFonts w:ascii="Webdings" w:eastAsia="Arial Unicode MS" w:hAnsi="Webdings" w:cs="Arial Unicode MS"/>
      <w:color w:val="FF0000"/>
      <w:sz w:val="22"/>
      <w:szCs w:val="22"/>
    </w:rPr>
  </w:style>
  <w:style w:type="paragraph" w:customStyle="1" w:styleId="xl78">
    <w:name w:val="xl78"/>
    <w:basedOn w:val="Normal"/>
    <w:pPr>
      <w:spacing w:before="100" w:beforeAutospacing="1" w:after="100" w:afterAutospacing="1"/>
    </w:pPr>
    <w:rPr>
      <w:rFonts w:ascii="Arial" w:eastAsia="Arial Unicode MS" w:hAnsi="Arial" w:cs="Arial"/>
      <w:b/>
      <w:bCs/>
      <w:sz w:val="22"/>
      <w:szCs w:val="22"/>
    </w:rPr>
  </w:style>
  <w:style w:type="paragraph" w:customStyle="1" w:styleId="xl79">
    <w:name w:val="xl79"/>
    <w:basedOn w:val="Normal"/>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80">
    <w:name w:val="xl80"/>
    <w:basedOn w:val="Normal"/>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81">
    <w:name w:val="xl81"/>
    <w:basedOn w:val="Normal"/>
    <w:pPr>
      <w:spacing w:before="100" w:beforeAutospacing="1" w:after="100" w:afterAutospacing="1"/>
    </w:pPr>
    <w:rPr>
      <w:rFonts w:ascii="Arial" w:eastAsia="Arial Unicode MS" w:hAnsi="Arial" w:cs="Arial"/>
      <w:color w:val="0000FF"/>
      <w:sz w:val="22"/>
      <w:szCs w:val="22"/>
    </w:rPr>
  </w:style>
  <w:style w:type="paragraph" w:customStyle="1" w:styleId="xl82">
    <w:name w:val="xl82"/>
    <w:basedOn w:val="Normal"/>
    <w:pPr>
      <w:pBdr>
        <w:top w:val="single" w:sz="4" w:space="0" w:color="auto"/>
      </w:pBdr>
      <w:spacing w:before="100" w:beforeAutospacing="1" w:after="100" w:afterAutospacing="1"/>
      <w:jc w:val="right"/>
    </w:pPr>
    <w:rPr>
      <w:rFonts w:ascii="Arial" w:eastAsia="Arial Unicode MS" w:hAnsi="Arial" w:cs="Arial"/>
      <w:sz w:val="22"/>
      <w:szCs w:val="22"/>
    </w:rPr>
  </w:style>
  <w:style w:type="paragraph" w:customStyle="1" w:styleId="xl83">
    <w:name w:val="xl83"/>
    <w:basedOn w:val="Normal"/>
    <w:pPr>
      <w:pBdr>
        <w:top w:val="single" w:sz="8" w:space="0" w:color="auto"/>
        <w:bottom w:val="single" w:sz="8" w:space="0" w:color="auto"/>
      </w:pBdr>
      <w:spacing w:before="100" w:beforeAutospacing="1" w:after="100" w:afterAutospacing="1"/>
      <w:jc w:val="right"/>
    </w:pPr>
    <w:rPr>
      <w:rFonts w:ascii="Arial" w:eastAsia="Arial Unicode MS" w:hAnsi="Arial" w:cs="Arial"/>
      <w:sz w:val="22"/>
      <w:szCs w:val="22"/>
    </w:rPr>
  </w:style>
  <w:style w:type="paragraph" w:customStyle="1" w:styleId="xl84">
    <w:name w:val="xl84"/>
    <w:basedOn w:val="Normal"/>
    <w:pPr>
      <w:pBdr>
        <w:bottom w:val="single" w:sz="8" w:space="0" w:color="auto"/>
      </w:pBdr>
      <w:spacing w:before="100" w:beforeAutospacing="1" w:after="100" w:afterAutospacing="1"/>
      <w:jc w:val="right"/>
    </w:pPr>
    <w:rPr>
      <w:rFonts w:ascii="Arial" w:eastAsia="Arial Unicode MS" w:hAnsi="Arial" w:cs="Arial"/>
      <w:sz w:val="22"/>
      <w:szCs w:val="22"/>
    </w:rPr>
  </w:style>
  <w:style w:type="paragraph" w:customStyle="1" w:styleId="xl85">
    <w:name w:val="xl85"/>
    <w:basedOn w:val="Normal"/>
    <w:pPr>
      <w:pBdr>
        <w:top w:val="single" w:sz="8" w:space="0" w:color="auto"/>
      </w:pBdr>
      <w:spacing w:before="100" w:beforeAutospacing="1" w:after="100" w:afterAutospacing="1"/>
      <w:jc w:val="right"/>
    </w:pPr>
    <w:rPr>
      <w:rFonts w:ascii="Arial" w:eastAsia="Arial Unicode MS" w:hAnsi="Arial" w:cs="Arial"/>
      <w:sz w:val="22"/>
      <w:szCs w:val="22"/>
    </w:rPr>
  </w:style>
  <w:style w:type="paragraph" w:customStyle="1" w:styleId="xl86">
    <w:name w:val="xl86"/>
    <w:basedOn w:val="Normal"/>
    <w:pPr>
      <w:pBdr>
        <w:top w:val="single" w:sz="12" w:space="0" w:color="auto"/>
        <w:bottom w:val="single" w:sz="12" w:space="0" w:color="auto"/>
      </w:pBdr>
      <w:spacing w:before="100" w:beforeAutospacing="1" w:after="100" w:afterAutospacing="1"/>
    </w:pPr>
    <w:rPr>
      <w:rFonts w:ascii="Arial" w:eastAsia="Arial Unicode MS" w:hAnsi="Arial" w:cs="Arial"/>
      <w:b/>
      <w:bCs/>
      <w:sz w:val="22"/>
      <w:szCs w:val="22"/>
    </w:rPr>
  </w:style>
  <w:style w:type="paragraph" w:customStyle="1" w:styleId="xl87">
    <w:name w:val="xl87"/>
    <w:basedOn w:val="Normal"/>
    <w:pPr>
      <w:pBdr>
        <w:top w:val="single" w:sz="12" w:space="0" w:color="auto"/>
        <w:bottom w:val="single" w:sz="12" w:space="0" w:color="auto"/>
      </w:pBdr>
      <w:spacing w:before="100" w:beforeAutospacing="1" w:after="100" w:afterAutospacing="1"/>
      <w:jc w:val="right"/>
    </w:pPr>
    <w:rPr>
      <w:rFonts w:ascii="Arial" w:eastAsia="Arial Unicode MS" w:hAnsi="Arial" w:cs="Arial"/>
      <w:b/>
      <w:bCs/>
      <w:sz w:val="22"/>
      <w:szCs w:val="22"/>
    </w:rPr>
  </w:style>
  <w:style w:type="paragraph" w:styleId="BlockText">
    <w:name w:val="Block Text"/>
    <w:basedOn w:val="Normal"/>
    <w:semiHidden/>
    <w:pPr>
      <w:autoSpaceDE w:val="0"/>
      <w:autoSpaceDN w:val="0"/>
      <w:adjustRightInd w:val="0"/>
      <w:ind w:left="1276" w:right="-474"/>
    </w:pPr>
    <w:rPr>
      <w:rFonts w:ascii="Arial" w:hAnsi="Arial" w:cs="Arial"/>
      <w:sz w:val="22"/>
      <w:lang w:val="en-US"/>
    </w:rPr>
  </w:style>
  <w:style w:type="character" w:customStyle="1" w:styleId="emailstyle15">
    <w:name w:val="emailstyle15"/>
    <w:semiHidden/>
    <w:rPr>
      <w:rFonts w:ascii="Arial" w:hAnsi="Arial" w:cs="Arial" w:hint="default"/>
      <w:color w:val="000000"/>
      <w:sz w:val="20"/>
      <w:szCs w:val="20"/>
    </w:rPr>
  </w:style>
  <w:style w:type="character" w:styleId="Emphasis">
    <w:name w:val="Emphasis"/>
    <w:basedOn w:val="DefaultParagraphFont"/>
    <w:qFormat/>
    <w:rPr>
      <w:i/>
      <w:iCs/>
    </w:rPr>
  </w:style>
  <w:style w:type="character" w:styleId="Strong">
    <w:name w:val="Strong"/>
    <w:basedOn w:val="DefaultParagraphFont"/>
    <w:qFormat/>
    <w:rPr>
      <w:b/>
      <w:bCs/>
    </w:rPr>
  </w:style>
  <w:style w:type="paragraph" w:customStyle="1" w:styleId="inlinenormal">
    <w:name w:val="inlinenormal"/>
    <w:basedOn w:val="Normal"/>
    <w:pPr>
      <w:autoSpaceDN w:val="0"/>
      <w:spacing w:before="120" w:after="60" w:line="264" w:lineRule="auto"/>
    </w:pPr>
    <w:rPr>
      <w:rFonts w:ascii="Arial" w:hAnsi="Arial" w:cs="Arial"/>
      <w:sz w:val="24"/>
      <w:szCs w:val="24"/>
      <w:lang w:eastAsia="en-GB"/>
    </w:rPr>
  </w:style>
  <w:style w:type="paragraph" w:styleId="BalloonText">
    <w:name w:val="Balloon Text"/>
    <w:basedOn w:val="Normal"/>
    <w:link w:val="BalloonTextChar"/>
    <w:uiPriority w:val="99"/>
    <w:semiHidden/>
    <w:unhideWhenUsed/>
    <w:rsid w:val="00C42B35"/>
    <w:rPr>
      <w:rFonts w:ascii="Tahoma" w:hAnsi="Tahoma" w:cs="Tahoma"/>
      <w:sz w:val="16"/>
      <w:szCs w:val="16"/>
    </w:rPr>
  </w:style>
  <w:style w:type="character" w:customStyle="1" w:styleId="BalloonTextChar">
    <w:name w:val="Balloon Text Char"/>
    <w:basedOn w:val="DefaultParagraphFont"/>
    <w:link w:val="BalloonText"/>
    <w:uiPriority w:val="99"/>
    <w:semiHidden/>
    <w:rsid w:val="00C42B35"/>
    <w:rPr>
      <w:rFonts w:ascii="Tahoma" w:hAnsi="Tahoma" w:cs="Tahoma"/>
      <w:sz w:val="16"/>
      <w:szCs w:val="16"/>
      <w:lang w:eastAsia="en-US"/>
    </w:rPr>
  </w:style>
  <w:style w:type="character" w:customStyle="1" w:styleId="Heading1Char">
    <w:name w:val="Heading 1 Char"/>
    <w:link w:val="Heading1"/>
    <w:rsid w:val="00564415"/>
    <w:rPr>
      <w:sz w:val="24"/>
      <w:lang w:eastAsia="en-US"/>
    </w:rPr>
  </w:style>
  <w:style w:type="character" w:customStyle="1" w:styleId="Heading2Char">
    <w:name w:val="Heading 2 Char"/>
    <w:link w:val="Heading2"/>
    <w:rsid w:val="00564415"/>
    <w:rPr>
      <w:sz w:val="24"/>
      <w:lang w:eastAsia="en-US"/>
    </w:rPr>
  </w:style>
  <w:style w:type="character" w:customStyle="1" w:styleId="Heading3Char">
    <w:name w:val="Heading 3 Char"/>
    <w:link w:val="Heading3"/>
    <w:rsid w:val="00564415"/>
    <w:rPr>
      <w:b/>
      <w:sz w:val="24"/>
      <w:lang w:eastAsia="en-US"/>
    </w:rPr>
  </w:style>
  <w:style w:type="character" w:customStyle="1" w:styleId="Heading6Char">
    <w:name w:val="Heading 6 Char"/>
    <w:link w:val="Heading6"/>
    <w:rsid w:val="00564415"/>
    <w:rPr>
      <w:b/>
      <w:color w:val="000080"/>
      <w:sz w:val="24"/>
      <w:lang w:eastAsia="en-US"/>
    </w:rPr>
  </w:style>
  <w:style w:type="character" w:customStyle="1" w:styleId="BodyTextChar">
    <w:name w:val="Body Text Char"/>
    <w:link w:val="BodyText"/>
    <w:semiHidden/>
    <w:rsid w:val="00564415"/>
    <w:rPr>
      <w:sz w:val="24"/>
      <w:lang w:eastAsia="en-US"/>
    </w:rPr>
  </w:style>
  <w:style w:type="character" w:customStyle="1" w:styleId="SubtitleChar">
    <w:name w:val="Subtitle Char"/>
    <w:link w:val="Subtitle"/>
    <w:rsid w:val="00564415"/>
    <w:rPr>
      <w:b/>
      <w:color w:val="000080"/>
      <w:sz w:val="24"/>
      <w:lang w:eastAsia="en-US"/>
    </w:rPr>
  </w:style>
  <w:style w:type="character" w:customStyle="1" w:styleId="BodyText3Char">
    <w:name w:val="Body Text 3 Char"/>
    <w:link w:val="BodyText3"/>
    <w:semiHidden/>
    <w:rsid w:val="00564415"/>
    <w:rPr>
      <w:color w:val="FF0000"/>
      <w:sz w:val="24"/>
      <w:lang w:eastAsia="en-US"/>
    </w:rPr>
  </w:style>
  <w:style w:type="character" w:customStyle="1" w:styleId="BodyTextIndentChar">
    <w:name w:val="Body Text Indent Char"/>
    <w:link w:val="BodyTextIndent"/>
    <w:semiHidden/>
    <w:rsid w:val="00F208F8"/>
    <w:rPr>
      <w:sz w:val="24"/>
      <w:lang w:eastAsia="en-US"/>
    </w:rPr>
  </w:style>
  <w:style w:type="character" w:customStyle="1" w:styleId="BodyTextIndent2Char">
    <w:name w:val="Body Text Indent 2 Char"/>
    <w:link w:val="BodyTextIndent2"/>
    <w:semiHidden/>
    <w:rsid w:val="00F208F8"/>
    <w:rPr>
      <w:sz w:val="24"/>
      <w:lang w:eastAsia="en-US"/>
    </w:rPr>
  </w:style>
  <w:style w:type="character" w:customStyle="1" w:styleId="BodyTextIndent3Char">
    <w:name w:val="Body Text Indent 3 Char"/>
    <w:link w:val="BodyTextIndent3"/>
    <w:semiHidden/>
    <w:rsid w:val="00F208F8"/>
    <w:rPr>
      <w:sz w:val="24"/>
      <w:lang w:eastAsia="en-US"/>
    </w:rPr>
  </w:style>
  <w:style w:type="paragraph" w:styleId="ListParagraph">
    <w:name w:val="List Paragraph"/>
    <w:basedOn w:val="Normal"/>
    <w:link w:val="ListParagraphChar"/>
    <w:qFormat/>
    <w:rsid w:val="007D5D5E"/>
    <w:pPr>
      <w:ind w:left="720"/>
      <w:contextualSpacing/>
    </w:pPr>
  </w:style>
  <w:style w:type="character" w:customStyle="1" w:styleId="ListParagraphChar">
    <w:name w:val="List Paragraph Char"/>
    <w:basedOn w:val="DefaultParagraphFont"/>
    <w:link w:val="ListParagraph"/>
    <w:locked/>
    <w:rsid w:val="0015594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518">
      <w:bodyDiv w:val="1"/>
      <w:marLeft w:val="0"/>
      <w:marRight w:val="0"/>
      <w:marTop w:val="0"/>
      <w:marBottom w:val="0"/>
      <w:divBdr>
        <w:top w:val="none" w:sz="0" w:space="0" w:color="auto"/>
        <w:left w:val="none" w:sz="0" w:space="0" w:color="auto"/>
        <w:bottom w:val="none" w:sz="0" w:space="0" w:color="auto"/>
        <w:right w:val="none" w:sz="0" w:space="0" w:color="auto"/>
      </w:divBdr>
    </w:div>
    <w:div w:id="25260926">
      <w:bodyDiv w:val="1"/>
      <w:marLeft w:val="0"/>
      <w:marRight w:val="0"/>
      <w:marTop w:val="0"/>
      <w:marBottom w:val="0"/>
      <w:divBdr>
        <w:top w:val="none" w:sz="0" w:space="0" w:color="auto"/>
        <w:left w:val="none" w:sz="0" w:space="0" w:color="auto"/>
        <w:bottom w:val="none" w:sz="0" w:space="0" w:color="auto"/>
        <w:right w:val="none" w:sz="0" w:space="0" w:color="auto"/>
      </w:divBdr>
    </w:div>
    <w:div w:id="31156565">
      <w:bodyDiv w:val="1"/>
      <w:marLeft w:val="0"/>
      <w:marRight w:val="0"/>
      <w:marTop w:val="0"/>
      <w:marBottom w:val="0"/>
      <w:divBdr>
        <w:top w:val="none" w:sz="0" w:space="0" w:color="auto"/>
        <w:left w:val="none" w:sz="0" w:space="0" w:color="auto"/>
        <w:bottom w:val="none" w:sz="0" w:space="0" w:color="auto"/>
        <w:right w:val="none" w:sz="0" w:space="0" w:color="auto"/>
      </w:divBdr>
    </w:div>
    <w:div w:id="31926269">
      <w:bodyDiv w:val="1"/>
      <w:marLeft w:val="0"/>
      <w:marRight w:val="0"/>
      <w:marTop w:val="0"/>
      <w:marBottom w:val="0"/>
      <w:divBdr>
        <w:top w:val="none" w:sz="0" w:space="0" w:color="auto"/>
        <w:left w:val="none" w:sz="0" w:space="0" w:color="auto"/>
        <w:bottom w:val="none" w:sz="0" w:space="0" w:color="auto"/>
        <w:right w:val="none" w:sz="0" w:space="0" w:color="auto"/>
      </w:divBdr>
    </w:div>
    <w:div w:id="32390256">
      <w:bodyDiv w:val="1"/>
      <w:marLeft w:val="0"/>
      <w:marRight w:val="0"/>
      <w:marTop w:val="0"/>
      <w:marBottom w:val="0"/>
      <w:divBdr>
        <w:top w:val="none" w:sz="0" w:space="0" w:color="auto"/>
        <w:left w:val="none" w:sz="0" w:space="0" w:color="auto"/>
        <w:bottom w:val="none" w:sz="0" w:space="0" w:color="auto"/>
        <w:right w:val="none" w:sz="0" w:space="0" w:color="auto"/>
      </w:divBdr>
    </w:div>
    <w:div w:id="35548133">
      <w:bodyDiv w:val="1"/>
      <w:marLeft w:val="0"/>
      <w:marRight w:val="0"/>
      <w:marTop w:val="0"/>
      <w:marBottom w:val="0"/>
      <w:divBdr>
        <w:top w:val="none" w:sz="0" w:space="0" w:color="auto"/>
        <w:left w:val="none" w:sz="0" w:space="0" w:color="auto"/>
        <w:bottom w:val="none" w:sz="0" w:space="0" w:color="auto"/>
        <w:right w:val="none" w:sz="0" w:space="0" w:color="auto"/>
      </w:divBdr>
    </w:div>
    <w:div w:id="35661180">
      <w:bodyDiv w:val="1"/>
      <w:marLeft w:val="0"/>
      <w:marRight w:val="0"/>
      <w:marTop w:val="0"/>
      <w:marBottom w:val="0"/>
      <w:divBdr>
        <w:top w:val="none" w:sz="0" w:space="0" w:color="auto"/>
        <w:left w:val="none" w:sz="0" w:space="0" w:color="auto"/>
        <w:bottom w:val="none" w:sz="0" w:space="0" w:color="auto"/>
        <w:right w:val="none" w:sz="0" w:space="0" w:color="auto"/>
      </w:divBdr>
    </w:div>
    <w:div w:id="45419180">
      <w:bodyDiv w:val="1"/>
      <w:marLeft w:val="0"/>
      <w:marRight w:val="0"/>
      <w:marTop w:val="0"/>
      <w:marBottom w:val="0"/>
      <w:divBdr>
        <w:top w:val="none" w:sz="0" w:space="0" w:color="auto"/>
        <w:left w:val="none" w:sz="0" w:space="0" w:color="auto"/>
        <w:bottom w:val="none" w:sz="0" w:space="0" w:color="auto"/>
        <w:right w:val="none" w:sz="0" w:space="0" w:color="auto"/>
      </w:divBdr>
    </w:div>
    <w:div w:id="46416636">
      <w:bodyDiv w:val="1"/>
      <w:marLeft w:val="0"/>
      <w:marRight w:val="0"/>
      <w:marTop w:val="0"/>
      <w:marBottom w:val="0"/>
      <w:divBdr>
        <w:top w:val="none" w:sz="0" w:space="0" w:color="auto"/>
        <w:left w:val="none" w:sz="0" w:space="0" w:color="auto"/>
        <w:bottom w:val="none" w:sz="0" w:space="0" w:color="auto"/>
        <w:right w:val="none" w:sz="0" w:space="0" w:color="auto"/>
      </w:divBdr>
    </w:div>
    <w:div w:id="51583518">
      <w:bodyDiv w:val="1"/>
      <w:marLeft w:val="0"/>
      <w:marRight w:val="0"/>
      <w:marTop w:val="0"/>
      <w:marBottom w:val="0"/>
      <w:divBdr>
        <w:top w:val="none" w:sz="0" w:space="0" w:color="auto"/>
        <w:left w:val="none" w:sz="0" w:space="0" w:color="auto"/>
        <w:bottom w:val="none" w:sz="0" w:space="0" w:color="auto"/>
        <w:right w:val="none" w:sz="0" w:space="0" w:color="auto"/>
      </w:divBdr>
    </w:div>
    <w:div w:id="54546227">
      <w:bodyDiv w:val="1"/>
      <w:marLeft w:val="0"/>
      <w:marRight w:val="0"/>
      <w:marTop w:val="0"/>
      <w:marBottom w:val="0"/>
      <w:divBdr>
        <w:top w:val="none" w:sz="0" w:space="0" w:color="auto"/>
        <w:left w:val="none" w:sz="0" w:space="0" w:color="auto"/>
        <w:bottom w:val="none" w:sz="0" w:space="0" w:color="auto"/>
        <w:right w:val="none" w:sz="0" w:space="0" w:color="auto"/>
      </w:divBdr>
    </w:div>
    <w:div w:id="60178586">
      <w:bodyDiv w:val="1"/>
      <w:marLeft w:val="0"/>
      <w:marRight w:val="0"/>
      <w:marTop w:val="0"/>
      <w:marBottom w:val="0"/>
      <w:divBdr>
        <w:top w:val="none" w:sz="0" w:space="0" w:color="auto"/>
        <w:left w:val="none" w:sz="0" w:space="0" w:color="auto"/>
        <w:bottom w:val="none" w:sz="0" w:space="0" w:color="auto"/>
        <w:right w:val="none" w:sz="0" w:space="0" w:color="auto"/>
      </w:divBdr>
    </w:div>
    <w:div w:id="60253989">
      <w:bodyDiv w:val="1"/>
      <w:marLeft w:val="0"/>
      <w:marRight w:val="0"/>
      <w:marTop w:val="0"/>
      <w:marBottom w:val="0"/>
      <w:divBdr>
        <w:top w:val="none" w:sz="0" w:space="0" w:color="auto"/>
        <w:left w:val="none" w:sz="0" w:space="0" w:color="auto"/>
        <w:bottom w:val="none" w:sz="0" w:space="0" w:color="auto"/>
        <w:right w:val="none" w:sz="0" w:space="0" w:color="auto"/>
      </w:divBdr>
    </w:div>
    <w:div w:id="61756844">
      <w:bodyDiv w:val="1"/>
      <w:marLeft w:val="0"/>
      <w:marRight w:val="0"/>
      <w:marTop w:val="0"/>
      <w:marBottom w:val="0"/>
      <w:divBdr>
        <w:top w:val="none" w:sz="0" w:space="0" w:color="auto"/>
        <w:left w:val="none" w:sz="0" w:space="0" w:color="auto"/>
        <w:bottom w:val="none" w:sz="0" w:space="0" w:color="auto"/>
        <w:right w:val="none" w:sz="0" w:space="0" w:color="auto"/>
      </w:divBdr>
    </w:div>
    <w:div w:id="73017218">
      <w:bodyDiv w:val="1"/>
      <w:marLeft w:val="0"/>
      <w:marRight w:val="0"/>
      <w:marTop w:val="0"/>
      <w:marBottom w:val="0"/>
      <w:divBdr>
        <w:top w:val="none" w:sz="0" w:space="0" w:color="auto"/>
        <w:left w:val="none" w:sz="0" w:space="0" w:color="auto"/>
        <w:bottom w:val="none" w:sz="0" w:space="0" w:color="auto"/>
        <w:right w:val="none" w:sz="0" w:space="0" w:color="auto"/>
      </w:divBdr>
    </w:div>
    <w:div w:id="73549432">
      <w:bodyDiv w:val="1"/>
      <w:marLeft w:val="0"/>
      <w:marRight w:val="0"/>
      <w:marTop w:val="0"/>
      <w:marBottom w:val="0"/>
      <w:divBdr>
        <w:top w:val="none" w:sz="0" w:space="0" w:color="auto"/>
        <w:left w:val="none" w:sz="0" w:space="0" w:color="auto"/>
        <w:bottom w:val="none" w:sz="0" w:space="0" w:color="auto"/>
        <w:right w:val="none" w:sz="0" w:space="0" w:color="auto"/>
      </w:divBdr>
    </w:div>
    <w:div w:id="79372238">
      <w:bodyDiv w:val="1"/>
      <w:marLeft w:val="0"/>
      <w:marRight w:val="0"/>
      <w:marTop w:val="0"/>
      <w:marBottom w:val="0"/>
      <w:divBdr>
        <w:top w:val="none" w:sz="0" w:space="0" w:color="auto"/>
        <w:left w:val="none" w:sz="0" w:space="0" w:color="auto"/>
        <w:bottom w:val="none" w:sz="0" w:space="0" w:color="auto"/>
        <w:right w:val="none" w:sz="0" w:space="0" w:color="auto"/>
      </w:divBdr>
    </w:div>
    <w:div w:id="92016662">
      <w:bodyDiv w:val="1"/>
      <w:marLeft w:val="0"/>
      <w:marRight w:val="0"/>
      <w:marTop w:val="0"/>
      <w:marBottom w:val="0"/>
      <w:divBdr>
        <w:top w:val="none" w:sz="0" w:space="0" w:color="auto"/>
        <w:left w:val="none" w:sz="0" w:space="0" w:color="auto"/>
        <w:bottom w:val="none" w:sz="0" w:space="0" w:color="auto"/>
        <w:right w:val="none" w:sz="0" w:space="0" w:color="auto"/>
      </w:divBdr>
    </w:div>
    <w:div w:id="93289313">
      <w:bodyDiv w:val="1"/>
      <w:marLeft w:val="0"/>
      <w:marRight w:val="0"/>
      <w:marTop w:val="0"/>
      <w:marBottom w:val="0"/>
      <w:divBdr>
        <w:top w:val="none" w:sz="0" w:space="0" w:color="auto"/>
        <w:left w:val="none" w:sz="0" w:space="0" w:color="auto"/>
        <w:bottom w:val="none" w:sz="0" w:space="0" w:color="auto"/>
        <w:right w:val="none" w:sz="0" w:space="0" w:color="auto"/>
      </w:divBdr>
    </w:div>
    <w:div w:id="93979580">
      <w:bodyDiv w:val="1"/>
      <w:marLeft w:val="0"/>
      <w:marRight w:val="0"/>
      <w:marTop w:val="0"/>
      <w:marBottom w:val="0"/>
      <w:divBdr>
        <w:top w:val="none" w:sz="0" w:space="0" w:color="auto"/>
        <w:left w:val="none" w:sz="0" w:space="0" w:color="auto"/>
        <w:bottom w:val="none" w:sz="0" w:space="0" w:color="auto"/>
        <w:right w:val="none" w:sz="0" w:space="0" w:color="auto"/>
      </w:divBdr>
    </w:div>
    <w:div w:id="96221371">
      <w:bodyDiv w:val="1"/>
      <w:marLeft w:val="0"/>
      <w:marRight w:val="0"/>
      <w:marTop w:val="0"/>
      <w:marBottom w:val="0"/>
      <w:divBdr>
        <w:top w:val="none" w:sz="0" w:space="0" w:color="auto"/>
        <w:left w:val="none" w:sz="0" w:space="0" w:color="auto"/>
        <w:bottom w:val="none" w:sz="0" w:space="0" w:color="auto"/>
        <w:right w:val="none" w:sz="0" w:space="0" w:color="auto"/>
      </w:divBdr>
    </w:div>
    <w:div w:id="96411759">
      <w:bodyDiv w:val="1"/>
      <w:marLeft w:val="0"/>
      <w:marRight w:val="0"/>
      <w:marTop w:val="0"/>
      <w:marBottom w:val="0"/>
      <w:divBdr>
        <w:top w:val="none" w:sz="0" w:space="0" w:color="auto"/>
        <w:left w:val="none" w:sz="0" w:space="0" w:color="auto"/>
        <w:bottom w:val="none" w:sz="0" w:space="0" w:color="auto"/>
        <w:right w:val="none" w:sz="0" w:space="0" w:color="auto"/>
      </w:divBdr>
    </w:div>
    <w:div w:id="111018340">
      <w:bodyDiv w:val="1"/>
      <w:marLeft w:val="0"/>
      <w:marRight w:val="0"/>
      <w:marTop w:val="0"/>
      <w:marBottom w:val="0"/>
      <w:divBdr>
        <w:top w:val="none" w:sz="0" w:space="0" w:color="auto"/>
        <w:left w:val="none" w:sz="0" w:space="0" w:color="auto"/>
        <w:bottom w:val="none" w:sz="0" w:space="0" w:color="auto"/>
        <w:right w:val="none" w:sz="0" w:space="0" w:color="auto"/>
      </w:divBdr>
    </w:div>
    <w:div w:id="122307831">
      <w:bodyDiv w:val="1"/>
      <w:marLeft w:val="0"/>
      <w:marRight w:val="0"/>
      <w:marTop w:val="0"/>
      <w:marBottom w:val="0"/>
      <w:divBdr>
        <w:top w:val="none" w:sz="0" w:space="0" w:color="auto"/>
        <w:left w:val="none" w:sz="0" w:space="0" w:color="auto"/>
        <w:bottom w:val="none" w:sz="0" w:space="0" w:color="auto"/>
        <w:right w:val="none" w:sz="0" w:space="0" w:color="auto"/>
      </w:divBdr>
    </w:div>
    <w:div w:id="124466534">
      <w:bodyDiv w:val="1"/>
      <w:marLeft w:val="0"/>
      <w:marRight w:val="0"/>
      <w:marTop w:val="0"/>
      <w:marBottom w:val="0"/>
      <w:divBdr>
        <w:top w:val="none" w:sz="0" w:space="0" w:color="auto"/>
        <w:left w:val="none" w:sz="0" w:space="0" w:color="auto"/>
        <w:bottom w:val="none" w:sz="0" w:space="0" w:color="auto"/>
        <w:right w:val="none" w:sz="0" w:space="0" w:color="auto"/>
      </w:divBdr>
    </w:div>
    <w:div w:id="137113244">
      <w:bodyDiv w:val="1"/>
      <w:marLeft w:val="0"/>
      <w:marRight w:val="0"/>
      <w:marTop w:val="0"/>
      <w:marBottom w:val="0"/>
      <w:divBdr>
        <w:top w:val="none" w:sz="0" w:space="0" w:color="auto"/>
        <w:left w:val="none" w:sz="0" w:space="0" w:color="auto"/>
        <w:bottom w:val="none" w:sz="0" w:space="0" w:color="auto"/>
        <w:right w:val="none" w:sz="0" w:space="0" w:color="auto"/>
      </w:divBdr>
    </w:div>
    <w:div w:id="156043918">
      <w:bodyDiv w:val="1"/>
      <w:marLeft w:val="0"/>
      <w:marRight w:val="0"/>
      <w:marTop w:val="0"/>
      <w:marBottom w:val="0"/>
      <w:divBdr>
        <w:top w:val="none" w:sz="0" w:space="0" w:color="auto"/>
        <w:left w:val="none" w:sz="0" w:space="0" w:color="auto"/>
        <w:bottom w:val="none" w:sz="0" w:space="0" w:color="auto"/>
        <w:right w:val="none" w:sz="0" w:space="0" w:color="auto"/>
      </w:divBdr>
    </w:div>
    <w:div w:id="163714805">
      <w:bodyDiv w:val="1"/>
      <w:marLeft w:val="0"/>
      <w:marRight w:val="0"/>
      <w:marTop w:val="0"/>
      <w:marBottom w:val="0"/>
      <w:divBdr>
        <w:top w:val="none" w:sz="0" w:space="0" w:color="auto"/>
        <w:left w:val="none" w:sz="0" w:space="0" w:color="auto"/>
        <w:bottom w:val="none" w:sz="0" w:space="0" w:color="auto"/>
        <w:right w:val="none" w:sz="0" w:space="0" w:color="auto"/>
      </w:divBdr>
    </w:div>
    <w:div w:id="164630963">
      <w:bodyDiv w:val="1"/>
      <w:marLeft w:val="0"/>
      <w:marRight w:val="0"/>
      <w:marTop w:val="0"/>
      <w:marBottom w:val="0"/>
      <w:divBdr>
        <w:top w:val="none" w:sz="0" w:space="0" w:color="auto"/>
        <w:left w:val="none" w:sz="0" w:space="0" w:color="auto"/>
        <w:bottom w:val="none" w:sz="0" w:space="0" w:color="auto"/>
        <w:right w:val="none" w:sz="0" w:space="0" w:color="auto"/>
      </w:divBdr>
    </w:div>
    <w:div w:id="168106930">
      <w:bodyDiv w:val="1"/>
      <w:marLeft w:val="0"/>
      <w:marRight w:val="0"/>
      <w:marTop w:val="0"/>
      <w:marBottom w:val="0"/>
      <w:divBdr>
        <w:top w:val="none" w:sz="0" w:space="0" w:color="auto"/>
        <w:left w:val="none" w:sz="0" w:space="0" w:color="auto"/>
        <w:bottom w:val="none" w:sz="0" w:space="0" w:color="auto"/>
        <w:right w:val="none" w:sz="0" w:space="0" w:color="auto"/>
      </w:divBdr>
    </w:div>
    <w:div w:id="169611277">
      <w:bodyDiv w:val="1"/>
      <w:marLeft w:val="0"/>
      <w:marRight w:val="0"/>
      <w:marTop w:val="0"/>
      <w:marBottom w:val="0"/>
      <w:divBdr>
        <w:top w:val="none" w:sz="0" w:space="0" w:color="auto"/>
        <w:left w:val="none" w:sz="0" w:space="0" w:color="auto"/>
        <w:bottom w:val="none" w:sz="0" w:space="0" w:color="auto"/>
        <w:right w:val="none" w:sz="0" w:space="0" w:color="auto"/>
      </w:divBdr>
    </w:div>
    <w:div w:id="173300779">
      <w:bodyDiv w:val="1"/>
      <w:marLeft w:val="0"/>
      <w:marRight w:val="0"/>
      <w:marTop w:val="0"/>
      <w:marBottom w:val="0"/>
      <w:divBdr>
        <w:top w:val="none" w:sz="0" w:space="0" w:color="auto"/>
        <w:left w:val="none" w:sz="0" w:space="0" w:color="auto"/>
        <w:bottom w:val="none" w:sz="0" w:space="0" w:color="auto"/>
        <w:right w:val="none" w:sz="0" w:space="0" w:color="auto"/>
      </w:divBdr>
    </w:div>
    <w:div w:id="176238695">
      <w:bodyDiv w:val="1"/>
      <w:marLeft w:val="0"/>
      <w:marRight w:val="0"/>
      <w:marTop w:val="0"/>
      <w:marBottom w:val="0"/>
      <w:divBdr>
        <w:top w:val="none" w:sz="0" w:space="0" w:color="auto"/>
        <w:left w:val="none" w:sz="0" w:space="0" w:color="auto"/>
        <w:bottom w:val="none" w:sz="0" w:space="0" w:color="auto"/>
        <w:right w:val="none" w:sz="0" w:space="0" w:color="auto"/>
      </w:divBdr>
    </w:div>
    <w:div w:id="182673882">
      <w:bodyDiv w:val="1"/>
      <w:marLeft w:val="0"/>
      <w:marRight w:val="0"/>
      <w:marTop w:val="0"/>
      <w:marBottom w:val="0"/>
      <w:divBdr>
        <w:top w:val="none" w:sz="0" w:space="0" w:color="auto"/>
        <w:left w:val="none" w:sz="0" w:space="0" w:color="auto"/>
        <w:bottom w:val="none" w:sz="0" w:space="0" w:color="auto"/>
        <w:right w:val="none" w:sz="0" w:space="0" w:color="auto"/>
      </w:divBdr>
    </w:div>
    <w:div w:id="187915220">
      <w:bodyDiv w:val="1"/>
      <w:marLeft w:val="0"/>
      <w:marRight w:val="0"/>
      <w:marTop w:val="0"/>
      <w:marBottom w:val="0"/>
      <w:divBdr>
        <w:top w:val="none" w:sz="0" w:space="0" w:color="auto"/>
        <w:left w:val="none" w:sz="0" w:space="0" w:color="auto"/>
        <w:bottom w:val="none" w:sz="0" w:space="0" w:color="auto"/>
        <w:right w:val="none" w:sz="0" w:space="0" w:color="auto"/>
      </w:divBdr>
    </w:div>
    <w:div w:id="194126397">
      <w:bodyDiv w:val="1"/>
      <w:marLeft w:val="0"/>
      <w:marRight w:val="0"/>
      <w:marTop w:val="0"/>
      <w:marBottom w:val="0"/>
      <w:divBdr>
        <w:top w:val="none" w:sz="0" w:space="0" w:color="auto"/>
        <w:left w:val="none" w:sz="0" w:space="0" w:color="auto"/>
        <w:bottom w:val="none" w:sz="0" w:space="0" w:color="auto"/>
        <w:right w:val="none" w:sz="0" w:space="0" w:color="auto"/>
      </w:divBdr>
    </w:div>
    <w:div w:id="198710268">
      <w:bodyDiv w:val="1"/>
      <w:marLeft w:val="0"/>
      <w:marRight w:val="0"/>
      <w:marTop w:val="0"/>
      <w:marBottom w:val="0"/>
      <w:divBdr>
        <w:top w:val="none" w:sz="0" w:space="0" w:color="auto"/>
        <w:left w:val="none" w:sz="0" w:space="0" w:color="auto"/>
        <w:bottom w:val="none" w:sz="0" w:space="0" w:color="auto"/>
        <w:right w:val="none" w:sz="0" w:space="0" w:color="auto"/>
      </w:divBdr>
    </w:div>
    <w:div w:id="199365778">
      <w:bodyDiv w:val="1"/>
      <w:marLeft w:val="0"/>
      <w:marRight w:val="0"/>
      <w:marTop w:val="0"/>
      <w:marBottom w:val="0"/>
      <w:divBdr>
        <w:top w:val="none" w:sz="0" w:space="0" w:color="auto"/>
        <w:left w:val="none" w:sz="0" w:space="0" w:color="auto"/>
        <w:bottom w:val="none" w:sz="0" w:space="0" w:color="auto"/>
        <w:right w:val="none" w:sz="0" w:space="0" w:color="auto"/>
      </w:divBdr>
    </w:div>
    <w:div w:id="204560886">
      <w:bodyDiv w:val="1"/>
      <w:marLeft w:val="0"/>
      <w:marRight w:val="0"/>
      <w:marTop w:val="0"/>
      <w:marBottom w:val="0"/>
      <w:divBdr>
        <w:top w:val="none" w:sz="0" w:space="0" w:color="auto"/>
        <w:left w:val="none" w:sz="0" w:space="0" w:color="auto"/>
        <w:bottom w:val="none" w:sz="0" w:space="0" w:color="auto"/>
        <w:right w:val="none" w:sz="0" w:space="0" w:color="auto"/>
      </w:divBdr>
    </w:div>
    <w:div w:id="207768448">
      <w:bodyDiv w:val="1"/>
      <w:marLeft w:val="0"/>
      <w:marRight w:val="0"/>
      <w:marTop w:val="0"/>
      <w:marBottom w:val="0"/>
      <w:divBdr>
        <w:top w:val="none" w:sz="0" w:space="0" w:color="auto"/>
        <w:left w:val="none" w:sz="0" w:space="0" w:color="auto"/>
        <w:bottom w:val="none" w:sz="0" w:space="0" w:color="auto"/>
        <w:right w:val="none" w:sz="0" w:space="0" w:color="auto"/>
      </w:divBdr>
    </w:div>
    <w:div w:id="209996846">
      <w:bodyDiv w:val="1"/>
      <w:marLeft w:val="0"/>
      <w:marRight w:val="0"/>
      <w:marTop w:val="0"/>
      <w:marBottom w:val="0"/>
      <w:divBdr>
        <w:top w:val="none" w:sz="0" w:space="0" w:color="auto"/>
        <w:left w:val="none" w:sz="0" w:space="0" w:color="auto"/>
        <w:bottom w:val="none" w:sz="0" w:space="0" w:color="auto"/>
        <w:right w:val="none" w:sz="0" w:space="0" w:color="auto"/>
      </w:divBdr>
    </w:div>
    <w:div w:id="210970472">
      <w:bodyDiv w:val="1"/>
      <w:marLeft w:val="0"/>
      <w:marRight w:val="0"/>
      <w:marTop w:val="0"/>
      <w:marBottom w:val="0"/>
      <w:divBdr>
        <w:top w:val="none" w:sz="0" w:space="0" w:color="auto"/>
        <w:left w:val="none" w:sz="0" w:space="0" w:color="auto"/>
        <w:bottom w:val="none" w:sz="0" w:space="0" w:color="auto"/>
        <w:right w:val="none" w:sz="0" w:space="0" w:color="auto"/>
      </w:divBdr>
    </w:div>
    <w:div w:id="214001674">
      <w:bodyDiv w:val="1"/>
      <w:marLeft w:val="0"/>
      <w:marRight w:val="0"/>
      <w:marTop w:val="0"/>
      <w:marBottom w:val="0"/>
      <w:divBdr>
        <w:top w:val="none" w:sz="0" w:space="0" w:color="auto"/>
        <w:left w:val="none" w:sz="0" w:space="0" w:color="auto"/>
        <w:bottom w:val="none" w:sz="0" w:space="0" w:color="auto"/>
        <w:right w:val="none" w:sz="0" w:space="0" w:color="auto"/>
      </w:divBdr>
    </w:div>
    <w:div w:id="214392716">
      <w:bodyDiv w:val="1"/>
      <w:marLeft w:val="0"/>
      <w:marRight w:val="0"/>
      <w:marTop w:val="0"/>
      <w:marBottom w:val="0"/>
      <w:divBdr>
        <w:top w:val="none" w:sz="0" w:space="0" w:color="auto"/>
        <w:left w:val="none" w:sz="0" w:space="0" w:color="auto"/>
        <w:bottom w:val="none" w:sz="0" w:space="0" w:color="auto"/>
        <w:right w:val="none" w:sz="0" w:space="0" w:color="auto"/>
      </w:divBdr>
    </w:div>
    <w:div w:id="219902739">
      <w:bodyDiv w:val="1"/>
      <w:marLeft w:val="0"/>
      <w:marRight w:val="0"/>
      <w:marTop w:val="0"/>
      <w:marBottom w:val="0"/>
      <w:divBdr>
        <w:top w:val="none" w:sz="0" w:space="0" w:color="auto"/>
        <w:left w:val="none" w:sz="0" w:space="0" w:color="auto"/>
        <w:bottom w:val="none" w:sz="0" w:space="0" w:color="auto"/>
        <w:right w:val="none" w:sz="0" w:space="0" w:color="auto"/>
      </w:divBdr>
    </w:div>
    <w:div w:id="220409153">
      <w:bodyDiv w:val="1"/>
      <w:marLeft w:val="0"/>
      <w:marRight w:val="0"/>
      <w:marTop w:val="0"/>
      <w:marBottom w:val="0"/>
      <w:divBdr>
        <w:top w:val="none" w:sz="0" w:space="0" w:color="auto"/>
        <w:left w:val="none" w:sz="0" w:space="0" w:color="auto"/>
        <w:bottom w:val="none" w:sz="0" w:space="0" w:color="auto"/>
        <w:right w:val="none" w:sz="0" w:space="0" w:color="auto"/>
      </w:divBdr>
    </w:div>
    <w:div w:id="221253324">
      <w:bodyDiv w:val="1"/>
      <w:marLeft w:val="0"/>
      <w:marRight w:val="0"/>
      <w:marTop w:val="0"/>
      <w:marBottom w:val="0"/>
      <w:divBdr>
        <w:top w:val="none" w:sz="0" w:space="0" w:color="auto"/>
        <w:left w:val="none" w:sz="0" w:space="0" w:color="auto"/>
        <w:bottom w:val="none" w:sz="0" w:space="0" w:color="auto"/>
        <w:right w:val="none" w:sz="0" w:space="0" w:color="auto"/>
      </w:divBdr>
    </w:div>
    <w:div w:id="227687716">
      <w:bodyDiv w:val="1"/>
      <w:marLeft w:val="0"/>
      <w:marRight w:val="0"/>
      <w:marTop w:val="0"/>
      <w:marBottom w:val="0"/>
      <w:divBdr>
        <w:top w:val="none" w:sz="0" w:space="0" w:color="auto"/>
        <w:left w:val="none" w:sz="0" w:space="0" w:color="auto"/>
        <w:bottom w:val="none" w:sz="0" w:space="0" w:color="auto"/>
        <w:right w:val="none" w:sz="0" w:space="0" w:color="auto"/>
      </w:divBdr>
    </w:div>
    <w:div w:id="230770218">
      <w:bodyDiv w:val="1"/>
      <w:marLeft w:val="0"/>
      <w:marRight w:val="0"/>
      <w:marTop w:val="0"/>
      <w:marBottom w:val="0"/>
      <w:divBdr>
        <w:top w:val="none" w:sz="0" w:space="0" w:color="auto"/>
        <w:left w:val="none" w:sz="0" w:space="0" w:color="auto"/>
        <w:bottom w:val="none" w:sz="0" w:space="0" w:color="auto"/>
        <w:right w:val="none" w:sz="0" w:space="0" w:color="auto"/>
      </w:divBdr>
    </w:div>
    <w:div w:id="239796362">
      <w:bodyDiv w:val="1"/>
      <w:marLeft w:val="0"/>
      <w:marRight w:val="0"/>
      <w:marTop w:val="0"/>
      <w:marBottom w:val="0"/>
      <w:divBdr>
        <w:top w:val="none" w:sz="0" w:space="0" w:color="auto"/>
        <w:left w:val="none" w:sz="0" w:space="0" w:color="auto"/>
        <w:bottom w:val="none" w:sz="0" w:space="0" w:color="auto"/>
        <w:right w:val="none" w:sz="0" w:space="0" w:color="auto"/>
      </w:divBdr>
    </w:div>
    <w:div w:id="248737741">
      <w:bodyDiv w:val="1"/>
      <w:marLeft w:val="0"/>
      <w:marRight w:val="0"/>
      <w:marTop w:val="0"/>
      <w:marBottom w:val="0"/>
      <w:divBdr>
        <w:top w:val="none" w:sz="0" w:space="0" w:color="auto"/>
        <w:left w:val="none" w:sz="0" w:space="0" w:color="auto"/>
        <w:bottom w:val="none" w:sz="0" w:space="0" w:color="auto"/>
        <w:right w:val="none" w:sz="0" w:space="0" w:color="auto"/>
      </w:divBdr>
    </w:div>
    <w:div w:id="253318270">
      <w:bodyDiv w:val="1"/>
      <w:marLeft w:val="0"/>
      <w:marRight w:val="0"/>
      <w:marTop w:val="0"/>
      <w:marBottom w:val="0"/>
      <w:divBdr>
        <w:top w:val="none" w:sz="0" w:space="0" w:color="auto"/>
        <w:left w:val="none" w:sz="0" w:space="0" w:color="auto"/>
        <w:bottom w:val="none" w:sz="0" w:space="0" w:color="auto"/>
        <w:right w:val="none" w:sz="0" w:space="0" w:color="auto"/>
      </w:divBdr>
    </w:div>
    <w:div w:id="256640503">
      <w:bodyDiv w:val="1"/>
      <w:marLeft w:val="0"/>
      <w:marRight w:val="0"/>
      <w:marTop w:val="0"/>
      <w:marBottom w:val="0"/>
      <w:divBdr>
        <w:top w:val="none" w:sz="0" w:space="0" w:color="auto"/>
        <w:left w:val="none" w:sz="0" w:space="0" w:color="auto"/>
        <w:bottom w:val="none" w:sz="0" w:space="0" w:color="auto"/>
        <w:right w:val="none" w:sz="0" w:space="0" w:color="auto"/>
      </w:divBdr>
    </w:div>
    <w:div w:id="256863867">
      <w:bodyDiv w:val="1"/>
      <w:marLeft w:val="0"/>
      <w:marRight w:val="0"/>
      <w:marTop w:val="0"/>
      <w:marBottom w:val="0"/>
      <w:divBdr>
        <w:top w:val="none" w:sz="0" w:space="0" w:color="auto"/>
        <w:left w:val="none" w:sz="0" w:space="0" w:color="auto"/>
        <w:bottom w:val="none" w:sz="0" w:space="0" w:color="auto"/>
        <w:right w:val="none" w:sz="0" w:space="0" w:color="auto"/>
      </w:divBdr>
    </w:div>
    <w:div w:id="259337966">
      <w:bodyDiv w:val="1"/>
      <w:marLeft w:val="0"/>
      <w:marRight w:val="0"/>
      <w:marTop w:val="0"/>
      <w:marBottom w:val="0"/>
      <w:divBdr>
        <w:top w:val="none" w:sz="0" w:space="0" w:color="auto"/>
        <w:left w:val="none" w:sz="0" w:space="0" w:color="auto"/>
        <w:bottom w:val="none" w:sz="0" w:space="0" w:color="auto"/>
        <w:right w:val="none" w:sz="0" w:space="0" w:color="auto"/>
      </w:divBdr>
    </w:div>
    <w:div w:id="263224731">
      <w:bodyDiv w:val="1"/>
      <w:marLeft w:val="0"/>
      <w:marRight w:val="0"/>
      <w:marTop w:val="0"/>
      <w:marBottom w:val="0"/>
      <w:divBdr>
        <w:top w:val="none" w:sz="0" w:space="0" w:color="auto"/>
        <w:left w:val="none" w:sz="0" w:space="0" w:color="auto"/>
        <w:bottom w:val="none" w:sz="0" w:space="0" w:color="auto"/>
        <w:right w:val="none" w:sz="0" w:space="0" w:color="auto"/>
      </w:divBdr>
    </w:div>
    <w:div w:id="263811175">
      <w:bodyDiv w:val="1"/>
      <w:marLeft w:val="0"/>
      <w:marRight w:val="0"/>
      <w:marTop w:val="0"/>
      <w:marBottom w:val="0"/>
      <w:divBdr>
        <w:top w:val="none" w:sz="0" w:space="0" w:color="auto"/>
        <w:left w:val="none" w:sz="0" w:space="0" w:color="auto"/>
        <w:bottom w:val="none" w:sz="0" w:space="0" w:color="auto"/>
        <w:right w:val="none" w:sz="0" w:space="0" w:color="auto"/>
      </w:divBdr>
    </w:div>
    <w:div w:id="264776505">
      <w:bodyDiv w:val="1"/>
      <w:marLeft w:val="0"/>
      <w:marRight w:val="0"/>
      <w:marTop w:val="0"/>
      <w:marBottom w:val="0"/>
      <w:divBdr>
        <w:top w:val="none" w:sz="0" w:space="0" w:color="auto"/>
        <w:left w:val="none" w:sz="0" w:space="0" w:color="auto"/>
        <w:bottom w:val="none" w:sz="0" w:space="0" w:color="auto"/>
        <w:right w:val="none" w:sz="0" w:space="0" w:color="auto"/>
      </w:divBdr>
    </w:div>
    <w:div w:id="266085074">
      <w:bodyDiv w:val="1"/>
      <w:marLeft w:val="0"/>
      <w:marRight w:val="0"/>
      <w:marTop w:val="0"/>
      <w:marBottom w:val="0"/>
      <w:divBdr>
        <w:top w:val="none" w:sz="0" w:space="0" w:color="auto"/>
        <w:left w:val="none" w:sz="0" w:space="0" w:color="auto"/>
        <w:bottom w:val="none" w:sz="0" w:space="0" w:color="auto"/>
        <w:right w:val="none" w:sz="0" w:space="0" w:color="auto"/>
      </w:divBdr>
    </w:div>
    <w:div w:id="270363841">
      <w:bodyDiv w:val="1"/>
      <w:marLeft w:val="0"/>
      <w:marRight w:val="0"/>
      <w:marTop w:val="0"/>
      <w:marBottom w:val="0"/>
      <w:divBdr>
        <w:top w:val="none" w:sz="0" w:space="0" w:color="auto"/>
        <w:left w:val="none" w:sz="0" w:space="0" w:color="auto"/>
        <w:bottom w:val="none" w:sz="0" w:space="0" w:color="auto"/>
        <w:right w:val="none" w:sz="0" w:space="0" w:color="auto"/>
      </w:divBdr>
    </w:div>
    <w:div w:id="272443459">
      <w:bodyDiv w:val="1"/>
      <w:marLeft w:val="0"/>
      <w:marRight w:val="0"/>
      <w:marTop w:val="0"/>
      <w:marBottom w:val="0"/>
      <w:divBdr>
        <w:top w:val="none" w:sz="0" w:space="0" w:color="auto"/>
        <w:left w:val="none" w:sz="0" w:space="0" w:color="auto"/>
        <w:bottom w:val="none" w:sz="0" w:space="0" w:color="auto"/>
        <w:right w:val="none" w:sz="0" w:space="0" w:color="auto"/>
      </w:divBdr>
    </w:div>
    <w:div w:id="278267091">
      <w:bodyDiv w:val="1"/>
      <w:marLeft w:val="0"/>
      <w:marRight w:val="0"/>
      <w:marTop w:val="0"/>
      <w:marBottom w:val="0"/>
      <w:divBdr>
        <w:top w:val="none" w:sz="0" w:space="0" w:color="auto"/>
        <w:left w:val="none" w:sz="0" w:space="0" w:color="auto"/>
        <w:bottom w:val="none" w:sz="0" w:space="0" w:color="auto"/>
        <w:right w:val="none" w:sz="0" w:space="0" w:color="auto"/>
      </w:divBdr>
    </w:div>
    <w:div w:id="288242763">
      <w:bodyDiv w:val="1"/>
      <w:marLeft w:val="0"/>
      <w:marRight w:val="0"/>
      <w:marTop w:val="0"/>
      <w:marBottom w:val="0"/>
      <w:divBdr>
        <w:top w:val="none" w:sz="0" w:space="0" w:color="auto"/>
        <w:left w:val="none" w:sz="0" w:space="0" w:color="auto"/>
        <w:bottom w:val="none" w:sz="0" w:space="0" w:color="auto"/>
        <w:right w:val="none" w:sz="0" w:space="0" w:color="auto"/>
      </w:divBdr>
    </w:div>
    <w:div w:id="290748202">
      <w:bodyDiv w:val="1"/>
      <w:marLeft w:val="0"/>
      <w:marRight w:val="0"/>
      <w:marTop w:val="0"/>
      <w:marBottom w:val="0"/>
      <w:divBdr>
        <w:top w:val="none" w:sz="0" w:space="0" w:color="auto"/>
        <w:left w:val="none" w:sz="0" w:space="0" w:color="auto"/>
        <w:bottom w:val="none" w:sz="0" w:space="0" w:color="auto"/>
        <w:right w:val="none" w:sz="0" w:space="0" w:color="auto"/>
      </w:divBdr>
    </w:div>
    <w:div w:id="298196317">
      <w:bodyDiv w:val="1"/>
      <w:marLeft w:val="0"/>
      <w:marRight w:val="0"/>
      <w:marTop w:val="0"/>
      <w:marBottom w:val="0"/>
      <w:divBdr>
        <w:top w:val="none" w:sz="0" w:space="0" w:color="auto"/>
        <w:left w:val="none" w:sz="0" w:space="0" w:color="auto"/>
        <w:bottom w:val="none" w:sz="0" w:space="0" w:color="auto"/>
        <w:right w:val="none" w:sz="0" w:space="0" w:color="auto"/>
      </w:divBdr>
    </w:div>
    <w:div w:id="298537497">
      <w:bodyDiv w:val="1"/>
      <w:marLeft w:val="0"/>
      <w:marRight w:val="0"/>
      <w:marTop w:val="0"/>
      <w:marBottom w:val="0"/>
      <w:divBdr>
        <w:top w:val="none" w:sz="0" w:space="0" w:color="auto"/>
        <w:left w:val="none" w:sz="0" w:space="0" w:color="auto"/>
        <w:bottom w:val="none" w:sz="0" w:space="0" w:color="auto"/>
        <w:right w:val="none" w:sz="0" w:space="0" w:color="auto"/>
      </w:divBdr>
    </w:div>
    <w:div w:id="302121107">
      <w:bodyDiv w:val="1"/>
      <w:marLeft w:val="0"/>
      <w:marRight w:val="0"/>
      <w:marTop w:val="0"/>
      <w:marBottom w:val="0"/>
      <w:divBdr>
        <w:top w:val="none" w:sz="0" w:space="0" w:color="auto"/>
        <w:left w:val="none" w:sz="0" w:space="0" w:color="auto"/>
        <w:bottom w:val="none" w:sz="0" w:space="0" w:color="auto"/>
        <w:right w:val="none" w:sz="0" w:space="0" w:color="auto"/>
      </w:divBdr>
    </w:div>
    <w:div w:id="302928822">
      <w:bodyDiv w:val="1"/>
      <w:marLeft w:val="0"/>
      <w:marRight w:val="0"/>
      <w:marTop w:val="0"/>
      <w:marBottom w:val="0"/>
      <w:divBdr>
        <w:top w:val="none" w:sz="0" w:space="0" w:color="auto"/>
        <w:left w:val="none" w:sz="0" w:space="0" w:color="auto"/>
        <w:bottom w:val="none" w:sz="0" w:space="0" w:color="auto"/>
        <w:right w:val="none" w:sz="0" w:space="0" w:color="auto"/>
      </w:divBdr>
    </w:div>
    <w:div w:id="303975166">
      <w:bodyDiv w:val="1"/>
      <w:marLeft w:val="0"/>
      <w:marRight w:val="0"/>
      <w:marTop w:val="0"/>
      <w:marBottom w:val="0"/>
      <w:divBdr>
        <w:top w:val="none" w:sz="0" w:space="0" w:color="auto"/>
        <w:left w:val="none" w:sz="0" w:space="0" w:color="auto"/>
        <w:bottom w:val="none" w:sz="0" w:space="0" w:color="auto"/>
        <w:right w:val="none" w:sz="0" w:space="0" w:color="auto"/>
      </w:divBdr>
    </w:div>
    <w:div w:id="308830802">
      <w:bodyDiv w:val="1"/>
      <w:marLeft w:val="0"/>
      <w:marRight w:val="0"/>
      <w:marTop w:val="0"/>
      <w:marBottom w:val="0"/>
      <w:divBdr>
        <w:top w:val="none" w:sz="0" w:space="0" w:color="auto"/>
        <w:left w:val="none" w:sz="0" w:space="0" w:color="auto"/>
        <w:bottom w:val="none" w:sz="0" w:space="0" w:color="auto"/>
        <w:right w:val="none" w:sz="0" w:space="0" w:color="auto"/>
      </w:divBdr>
    </w:div>
    <w:div w:id="312830260">
      <w:bodyDiv w:val="1"/>
      <w:marLeft w:val="0"/>
      <w:marRight w:val="0"/>
      <w:marTop w:val="0"/>
      <w:marBottom w:val="0"/>
      <w:divBdr>
        <w:top w:val="none" w:sz="0" w:space="0" w:color="auto"/>
        <w:left w:val="none" w:sz="0" w:space="0" w:color="auto"/>
        <w:bottom w:val="none" w:sz="0" w:space="0" w:color="auto"/>
        <w:right w:val="none" w:sz="0" w:space="0" w:color="auto"/>
      </w:divBdr>
    </w:div>
    <w:div w:id="325671402">
      <w:bodyDiv w:val="1"/>
      <w:marLeft w:val="0"/>
      <w:marRight w:val="0"/>
      <w:marTop w:val="0"/>
      <w:marBottom w:val="0"/>
      <w:divBdr>
        <w:top w:val="none" w:sz="0" w:space="0" w:color="auto"/>
        <w:left w:val="none" w:sz="0" w:space="0" w:color="auto"/>
        <w:bottom w:val="none" w:sz="0" w:space="0" w:color="auto"/>
        <w:right w:val="none" w:sz="0" w:space="0" w:color="auto"/>
      </w:divBdr>
    </w:div>
    <w:div w:id="341468608">
      <w:bodyDiv w:val="1"/>
      <w:marLeft w:val="0"/>
      <w:marRight w:val="0"/>
      <w:marTop w:val="0"/>
      <w:marBottom w:val="0"/>
      <w:divBdr>
        <w:top w:val="none" w:sz="0" w:space="0" w:color="auto"/>
        <w:left w:val="none" w:sz="0" w:space="0" w:color="auto"/>
        <w:bottom w:val="none" w:sz="0" w:space="0" w:color="auto"/>
        <w:right w:val="none" w:sz="0" w:space="0" w:color="auto"/>
      </w:divBdr>
    </w:div>
    <w:div w:id="343243752">
      <w:bodyDiv w:val="1"/>
      <w:marLeft w:val="0"/>
      <w:marRight w:val="0"/>
      <w:marTop w:val="0"/>
      <w:marBottom w:val="0"/>
      <w:divBdr>
        <w:top w:val="none" w:sz="0" w:space="0" w:color="auto"/>
        <w:left w:val="none" w:sz="0" w:space="0" w:color="auto"/>
        <w:bottom w:val="none" w:sz="0" w:space="0" w:color="auto"/>
        <w:right w:val="none" w:sz="0" w:space="0" w:color="auto"/>
      </w:divBdr>
    </w:div>
    <w:div w:id="344600797">
      <w:bodyDiv w:val="1"/>
      <w:marLeft w:val="0"/>
      <w:marRight w:val="0"/>
      <w:marTop w:val="0"/>
      <w:marBottom w:val="0"/>
      <w:divBdr>
        <w:top w:val="none" w:sz="0" w:space="0" w:color="auto"/>
        <w:left w:val="none" w:sz="0" w:space="0" w:color="auto"/>
        <w:bottom w:val="none" w:sz="0" w:space="0" w:color="auto"/>
        <w:right w:val="none" w:sz="0" w:space="0" w:color="auto"/>
      </w:divBdr>
    </w:div>
    <w:div w:id="346760828">
      <w:bodyDiv w:val="1"/>
      <w:marLeft w:val="0"/>
      <w:marRight w:val="0"/>
      <w:marTop w:val="0"/>
      <w:marBottom w:val="0"/>
      <w:divBdr>
        <w:top w:val="none" w:sz="0" w:space="0" w:color="auto"/>
        <w:left w:val="none" w:sz="0" w:space="0" w:color="auto"/>
        <w:bottom w:val="none" w:sz="0" w:space="0" w:color="auto"/>
        <w:right w:val="none" w:sz="0" w:space="0" w:color="auto"/>
      </w:divBdr>
    </w:div>
    <w:div w:id="349455907">
      <w:bodyDiv w:val="1"/>
      <w:marLeft w:val="0"/>
      <w:marRight w:val="0"/>
      <w:marTop w:val="0"/>
      <w:marBottom w:val="0"/>
      <w:divBdr>
        <w:top w:val="none" w:sz="0" w:space="0" w:color="auto"/>
        <w:left w:val="none" w:sz="0" w:space="0" w:color="auto"/>
        <w:bottom w:val="none" w:sz="0" w:space="0" w:color="auto"/>
        <w:right w:val="none" w:sz="0" w:space="0" w:color="auto"/>
      </w:divBdr>
    </w:div>
    <w:div w:id="351223226">
      <w:bodyDiv w:val="1"/>
      <w:marLeft w:val="0"/>
      <w:marRight w:val="0"/>
      <w:marTop w:val="0"/>
      <w:marBottom w:val="0"/>
      <w:divBdr>
        <w:top w:val="none" w:sz="0" w:space="0" w:color="auto"/>
        <w:left w:val="none" w:sz="0" w:space="0" w:color="auto"/>
        <w:bottom w:val="none" w:sz="0" w:space="0" w:color="auto"/>
        <w:right w:val="none" w:sz="0" w:space="0" w:color="auto"/>
      </w:divBdr>
    </w:div>
    <w:div w:id="354889889">
      <w:bodyDiv w:val="1"/>
      <w:marLeft w:val="0"/>
      <w:marRight w:val="0"/>
      <w:marTop w:val="0"/>
      <w:marBottom w:val="0"/>
      <w:divBdr>
        <w:top w:val="none" w:sz="0" w:space="0" w:color="auto"/>
        <w:left w:val="none" w:sz="0" w:space="0" w:color="auto"/>
        <w:bottom w:val="none" w:sz="0" w:space="0" w:color="auto"/>
        <w:right w:val="none" w:sz="0" w:space="0" w:color="auto"/>
      </w:divBdr>
    </w:div>
    <w:div w:id="356783411">
      <w:bodyDiv w:val="1"/>
      <w:marLeft w:val="0"/>
      <w:marRight w:val="0"/>
      <w:marTop w:val="0"/>
      <w:marBottom w:val="0"/>
      <w:divBdr>
        <w:top w:val="none" w:sz="0" w:space="0" w:color="auto"/>
        <w:left w:val="none" w:sz="0" w:space="0" w:color="auto"/>
        <w:bottom w:val="none" w:sz="0" w:space="0" w:color="auto"/>
        <w:right w:val="none" w:sz="0" w:space="0" w:color="auto"/>
      </w:divBdr>
    </w:div>
    <w:div w:id="359473601">
      <w:bodyDiv w:val="1"/>
      <w:marLeft w:val="0"/>
      <w:marRight w:val="0"/>
      <w:marTop w:val="0"/>
      <w:marBottom w:val="0"/>
      <w:divBdr>
        <w:top w:val="none" w:sz="0" w:space="0" w:color="auto"/>
        <w:left w:val="none" w:sz="0" w:space="0" w:color="auto"/>
        <w:bottom w:val="none" w:sz="0" w:space="0" w:color="auto"/>
        <w:right w:val="none" w:sz="0" w:space="0" w:color="auto"/>
      </w:divBdr>
    </w:div>
    <w:div w:id="363679119">
      <w:bodyDiv w:val="1"/>
      <w:marLeft w:val="0"/>
      <w:marRight w:val="0"/>
      <w:marTop w:val="0"/>
      <w:marBottom w:val="0"/>
      <w:divBdr>
        <w:top w:val="none" w:sz="0" w:space="0" w:color="auto"/>
        <w:left w:val="none" w:sz="0" w:space="0" w:color="auto"/>
        <w:bottom w:val="none" w:sz="0" w:space="0" w:color="auto"/>
        <w:right w:val="none" w:sz="0" w:space="0" w:color="auto"/>
      </w:divBdr>
    </w:div>
    <w:div w:id="364404568">
      <w:bodyDiv w:val="1"/>
      <w:marLeft w:val="0"/>
      <w:marRight w:val="0"/>
      <w:marTop w:val="0"/>
      <w:marBottom w:val="0"/>
      <w:divBdr>
        <w:top w:val="none" w:sz="0" w:space="0" w:color="auto"/>
        <w:left w:val="none" w:sz="0" w:space="0" w:color="auto"/>
        <w:bottom w:val="none" w:sz="0" w:space="0" w:color="auto"/>
        <w:right w:val="none" w:sz="0" w:space="0" w:color="auto"/>
      </w:divBdr>
    </w:div>
    <w:div w:id="368728057">
      <w:bodyDiv w:val="1"/>
      <w:marLeft w:val="0"/>
      <w:marRight w:val="0"/>
      <w:marTop w:val="0"/>
      <w:marBottom w:val="0"/>
      <w:divBdr>
        <w:top w:val="none" w:sz="0" w:space="0" w:color="auto"/>
        <w:left w:val="none" w:sz="0" w:space="0" w:color="auto"/>
        <w:bottom w:val="none" w:sz="0" w:space="0" w:color="auto"/>
        <w:right w:val="none" w:sz="0" w:space="0" w:color="auto"/>
      </w:divBdr>
    </w:div>
    <w:div w:id="378018870">
      <w:bodyDiv w:val="1"/>
      <w:marLeft w:val="0"/>
      <w:marRight w:val="0"/>
      <w:marTop w:val="0"/>
      <w:marBottom w:val="0"/>
      <w:divBdr>
        <w:top w:val="none" w:sz="0" w:space="0" w:color="auto"/>
        <w:left w:val="none" w:sz="0" w:space="0" w:color="auto"/>
        <w:bottom w:val="none" w:sz="0" w:space="0" w:color="auto"/>
        <w:right w:val="none" w:sz="0" w:space="0" w:color="auto"/>
      </w:divBdr>
    </w:div>
    <w:div w:id="379016652">
      <w:bodyDiv w:val="1"/>
      <w:marLeft w:val="0"/>
      <w:marRight w:val="0"/>
      <w:marTop w:val="0"/>
      <w:marBottom w:val="0"/>
      <w:divBdr>
        <w:top w:val="none" w:sz="0" w:space="0" w:color="auto"/>
        <w:left w:val="none" w:sz="0" w:space="0" w:color="auto"/>
        <w:bottom w:val="none" w:sz="0" w:space="0" w:color="auto"/>
        <w:right w:val="none" w:sz="0" w:space="0" w:color="auto"/>
      </w:divBdr>
    </w:div>
    <w:div w:id="380399629">
      <w:bodyDiv w:val="1"/>
      <w:marLeft w:val="0"/>
      <w:marRight w:val="0"/>
      <w:marTop w:val="0"/>
      <w:marBottom w:val="0"/>
      <w:divBdr>
        <w:top w:val="none" w:sz="0" w:space="0" w:color="auto"/>
        <w:left w:val="none" w:sz="0" w:space="0" w:color="auto"/>
        <w:bottom w:val="none" w:sz="0" w:space="0" w:color="auto"/>
        <w:right w:val="none" w:sz="0" w:space="0" w:color="auto"/>
      </w:divBdr>
    </w:div>
    <w:div w:id="385493581">
      <w:bodyDiv w:val="1"/>
      <w:marLeft w:val="0"/>
      <w:marRight w:val="0"/>
      <w:marTop w:val="0"/>
      <w:marBottom w:val="0"/>
      <w:divBdr>
        <w:top w:val="none" w:sz="0" w:space="0" w:color="auto"/>
        <w:left w:val="none" w:sz="0" w:space="0" w:color="auto"/>
        <w:bottom w:val="none" w:sz="0" w:space="0" w:color="auto"/>
        <w:right w:val="none" w:sz="0" w:space="0" w:color="auto"/>
      </w:divBdr>
    </w:div>
    <w:div w:id="390158068">
      <w:bodyDiv w:val="1"/>
      <w:marLeft w:val="0"/>
      <w:marRight w:val="0"/>
      <w:marTop w:val="0"/>
      <w:marBottom w:val="0"/>
      <w:divBdr>
        <w:top w:val="none" w:sz="0" w:space="0" w:color="auto"/>
        <w:left w:val="none" w:sz="0" w:space="0" w:color="auto"/>
        <w:bottom w:val="none" w:sz="0" w:space="0" w:color="auto"/>
        <w:right w:val="none" w:sz="0" w:space="0" w:color="auto"/>
      </w:divBdr>
    </w:div>
    <w:div w:id="391539779">
      <w:bodyDiv w:val="1"/>
      <w:marLeft w:val="0"/>
      <w:marRight w:val="0"/>
      <w:marTop w:val="0"/>
      <w:marBottom w:val="0"/>
      <w:divBdr>
        <w:top w:val="none" w:sz="0" w:space="0" w:color="auto"/>
        <w:left w:val="none" w:sz="0" w:space="0" w:color="auto"/>
        <w:bottom w:val="none" w:sz="0" w:space="0" w:color="auto"/>
        <w:right w:val="none" w:sz="0" w:space="0" w:color="auto"/>
      </w:divBdr>
    </w:div>
    <w:div w:id="394083271">
      <w:bodyDiv w:val="1"/>
      <w:marLeft w:val="0"/>
      <w:marRight w:val="0"/>
      <w:marTop w:val="0"/>
      <w:marBottom w:val="0"/>
      <w:divBdr>
        <w:top w:val="none" w:sz="0" w:space="0" w:color="auto"/>
        <w:left w:val="none" w:sz="0" w:space="0" w:color="auto"/>
        <w:bottom w:val="none" w:sz="0" w:space="0" w:color="auto"/>
        <w:right w:val="none" w:sz="0" w:space="0" w:color="auto"/>
      </w:divBdr>
    </w:div>
    <w:div w:id="397485601">
      <w:bodyDiv w:val="1"/>
      <w:marLeft w:val="0"/>
      <w:marRight w:val="0"/>
      <w:marTop w:val="0"/>
      <w:marBottom w:val="0"/>
      <w:divBdr>
        <w:top w:val="none" w:sz="0" w:space="0" w:color="auto"/>
        <w:left w:val="none" w:sz="0" w:space="0" w:color="auto"/>
        <w:bottom w:val="none" w:sz="0" w:space="0" w:color="auto"/>
        <w:right w:val="none" w:sz="0" w:space="0" w:color="auto"/>
      </w:divBdr>
    </w:div>
    <w:div w:id="397555577">
      <w:bodyDiv w:val="1"/>
      <w:marLeft w:val="0"/>
      <w:marRight w:val="0"/>
      <w:marTop w:val="0"/>
      <w:marBottom w:val="0"/>
      <w:divBdr>
        <w:top w:val="none" w:sz="0" w:space="0" w:color="auto"/>
        <w:left w:val="none" w:sz="0" w:space="0" w:color="auto"/>
        <w:bottom w:val="none" w:sz="0" w:space="0" w:color="auto"/>
        <w:right w:val="none" w:sz="0" w:space="0" w:color="auto"/>
      </w:divBdr>
    </w:div>
    <w:div w:id="398091218">
      <w:bodyDiv w:val="1"/>
      <w:marLeft w:val="0"/>
      <w:marRight w:val="0"/>
      <w:marTop w:val="0"/>
      <w:marBottom w:val="0"/>
      <w:divBdr>
        <w:top w:val="none" w:sz="0" w:space="0" w:color="auto"/>
        <w:left w:val="none" w:sz="0" w:space="0" w:color="auto"/>
        <w:bottom w:val="none" w:sz="0" w:space="0" w:color="auto"/>
        <w:right w:val="none" w:sz="0" w:space="0" w:color="auto"/>
      </w:divBdr>
    </w:div>
    <w:div w:id="410472182">
      <w:bodyDiv w:val="1"/>
      <w:marLeft w:val="0"/>
      <w:marRight w:val="0"/>
      <w:marTop w:val="0"/>
      <w:marBottom w:val="0"/>
      <w:divBdr>
        <w:top w:val="none" w:sz="0" w:space="0" w:color="auto"/>
        <w:left w:val="none" w:sz="0" w:space="0" w:color="auto"/>
        <w:bottom w:val="none" w:sz="0" w:space="0" w:color="auto"/>
        <w:right w:val="none" w:sz="0" w:space="0" w:color="auto"/>
      </w:divBdr>
    </w:div>
    <w:div w:id="413089029">
      <w:bodyDiv w:val="1"/>
      <w:marLeft w:val="0"/>
      <w:marRight w:val="0"/>
      <w:marTop w:val="0"/>
      <w:marBottom w:val="0"/>
      <w:divBdr>
        <w:top w:val="none" w:sz="0" w:space="0" w:color="auto"/>
        <w:left w:val="none" w:sz="0" w:space="0" w:color="auto"/>
        <w:bottom w:val="none" w:sz="0" w:space="0" w:color="auto"/>
        <w:right w:val="none" w:sz="0" w:space="0" w:color="auto"/>
      </w:divBdr>
    </w:div>
    <w:div w:id="418019415">
      <w:bodyDiv w:val="1"/>
      <w:marLeft w:val="0"/>
      <w:marRight w:val="0"/>
      <w:marTop w:val="0"/>
      <w:marBottom w:val="0"/>
      <w:divBdr>
        <w:top w:val="none" w:sz="0" w:space="0" w:color="auto"/>
        <w:left w:val="none" w:sz="0" w:space="0" w:color="auto"/>
        <w:bottom w:val="none" w:sz="0" w:space="0" w:color="auto"/>
        <w:right w:val="none" w:sz="0" w:space="0" w:color="auto"/>
      </w:divBdr>
    </w:div>
    <w:div w:id="423572664">
      <w:bodyDiv w:val="1"/>
      <w:marLeft w:val="0"/>
      <w:marRight w:val="0"/>
      <w:marTop w:val="0"/>
      <w:marBottom w:val="0"/>
      <w:divBdr>
        <w:top w:val="none" w:sz="0" w:space="0" w:color="auto"/>
        <w:left w:val="none" w:sz="0" w:space="0" w:color="auto"/>
        <w:bottom w:val="none" w:sz="0" w:space="0" w:color="auto"/>
        <w:right w:val="none" w:sz="0" w:space="0" w:color="auto"/>
      </w:divBdr>
    </w:div>
    <w:div w:id="423766842">
      <w:bodyDiv w:val="1"/>
      <w:marLeft w:val="0"/>
      <w:marRight w:val="0"/>
      <w:marTop w:val="0"/>
      <w:marBottom w:val="0"/>
      <w:divBdr>
        <w:top w:val="none" w:sz="0" w:space="0" w:color="auto"/>
        <w:left w:val="none" w:sz="0" w:space="0" w:color="auto"/>
        <w:bottom w:val="none" w:sz="0" w:space="0" w:color="auto"/>
        <w:right w:val="none" w:sz="0" w:space="0" w:color="auto"/>
      </w:divBdr>
    </w:div>
    <w:div w:id="425539191">
      <w:bodyDiv w:val="1"/>
      <w:marLeft w:val="0"/>
      <w:marRight w:val="0"/>
      <w:marTop w:val="0"/>
      <w:marBottom w:val="0"/>
      <w:divBdr>
        <w:top w:val="none" w:sz="0" w:space="0" w:color="auto"/>
        <w:left w:val="none" w:sz="0" w:space="0" w:color="auto"/>
        <w:bottom w:val="none" w:sz="0" w:space="0" w:color="auto"/>
        <w:right w:val="none" w:sz="0" w:space="0" w:color="auto"/>
      </w:divBdr>
    </w:div>
    <w:div w:id="434718834">
      <w:bodyDiv w:val="1"/>
      <w:marLeft w:val="0"/>
      <w:marRight w:val="0"/>
      <w:marTop w:val="0"/>
      <w:marBottom w:val="0"/>
      <w:divBdr>
        <w:top w:val="none" w:sz="0" w:space="0" w:color="auto"/>
        <w:left w:val="none" w:sz="0" w:space="0" w:color="auto"/>
        <w:bottom w:val="none" w:sz="0" w:space="0" w:color="auto"/>
        <w:right w:val="none" w:sz="0" w:space="0" w:color="auto"/>
      </w:divBdr>
    </w:div>
    <w:div w:id="435710014">
      <w:bodyDiv w:val="1"/>
      <w:marLeft w:val="0"/>
      <w:marRight w:val="0"/>
      <w:marTop w:val="0"/>
      <w:marBottom w:val="0"/>
      <w:divBdr>
        <w:top w:val="none" w:sz="0" w:space="0" w:color="auto"/>
        <w:left w:val="none" w:sz="0" w:space="0" w:color="auto"/>
        <w:bottom w:val="none" w:sz="0" w:space="0" w:color="auto"/>
        <w:right w:val="none" w:sz="0" w:space="0" w:color="auto"/>
      </w:divBdr>
    </w:div>
    <w:div w:id="435953019">
      <w:bodyDiv w:val="1"/>
      <w:marLeft w:val="0"/>
      <w:marRight w:val="0"/>
      <w:marTop w:val="0"/>
      <w:marBottom w:val="0"/>
      <w:divBdr>
        <w:top w:val="none" w:sz="0" w:space="0" w:color="auto"/>
        <w:left w:val="none" w:sz="0" w:space="0" w:color="auto"/>
        <w:bottom w:val="none" w:sz="0" w:space="0" w:color="auto"/>
        <w:right w:val="none" w:sz="0" w:space="0" w:color="auto"/>
      </w:divBdr>
    </w:div>
    <w:div w:id="436608584">
      <w:bodyDiv w:val="1"/>
      <w:marLeft w:val="0"/>
      <w:marRight w:val="0"/>
      <w:marTop w:val="0"/>
      <w:marBottom w:val="0"/>
      <w:divBdr>
        <w:top w:val="none" w:sz="0" w:space="0" w:color="auto"/>
        <w:left w:val="none" w:sz="0" w:space="0" w:color="auto"/>
        <w:bottom w:val="none" w:sz="0" w:space="0" w:color="auto"/>
        <w:right w:val="none" w:sz="0" w:space="0" w:color="auto"/>
      </w:divBdr>
    </w:div>
    <w:div w:id="438644153">
      <w:bodyDiv w:val="1"/>
      <w:marLeft w:val="0"/>
      <w:marRight w:val="0"/>
      <w:marTop w:val="0"/>
      <w:marBottom w:val="0"/>
      <w:divBdr>
        <w:top w:val="none" w:sz="0" w:space="0" w:color="auto"/>
        <w:left w:val="none" w:sz="0" w:space="0" w:color="auto"/>
        <w:bottom w:val="none" w:sz="0" w:space="0" w:color="auto"/>
        <w:right w:val="none" w:sz="0" w:space="0" w:color="auto"/>
      </w:divBdr>
    </w:div>
    <w:div w:id="440996127">
      <w:bodyDiv w:val="1"/>
      <w:marLeft w:val="0"/>
      <w:marRight w:val="0"/>
      <w:marTop w:val="0"/>
      <w:marBottom w:val="0"/>
      <w:divBdr>
        <w:top w:val="none" w:sz="0" w:space="0" w:color="auto"/>
        <w:left w:val="none" w:sz="0" w:space="0" w:color="auto"/>
        <w:bottom w:val="none" w:sz="0" w:space="0" w:color="auto"/>
        <w:right w:val="none" w:sz="0" w:space="0" w:color="auto"/>
      </w:divBdr>
    </w:div>
    <w:div w:id="444665579">
      <w:bodyDiv w:val="1"/>
      <w:marLeft w:val="0"/>
      <w:marRight w:val="0"/>
      <w:marTop w:val="0"/>
      <w:marBottom w:val="0"/>
      <w:divBdr>
        <w:top w:val="none" w:sz="0" w:space="0" w:color="auto"/>
        <w:left w:val="none" w:sz="0" w:space="0" w:color="auto"/>
        <w:bottom w:val="none" w:sz="0" w:space="0" w:color="auto"/>
        <w:right w:val="none" w:sz="0" w:space="0" w:color="auto"/>
      </w:divBdr>
    </w:div>
    <w:div w:id="445468732">
      <w:bodyDiv w:val="1"/>
      <w:marLeft w:val="0"/>
      <w:marRight w:val="0"/>
      <w:marTop w:val="0"/>
      <w:marBottom w:val="0"/>
      <w:divBdr>
        <w:top w:val="none" w:sz="0" w:space="0" w:color="auto"/>
        <w:left w:val="none" w:sz="0" w:space="0" w:color="auto"/>
        <w:bottom w:val="none" w:sz="0" w:space="0" w:color="auto"/>
        <w:right w:val="none" w:sz="0" w:space="0" w:color="auto"/>
      </w:divBdr>
    </w:div>
    <w:div w:id="445587236">
      <w:bodyDiv w:val="1"/>
      <w:marLeft w:val="0"/>
      <w:marRight w:val="0"/>
      <w:marTop w:val="0"/>
      <w:marBottom w:val="0"/>
      <w:divBdr>
        <w:top w:val="none" w:sz="0" w:space="0" w:color="auto"/>
        <w:left w:val="none" w:sz="0" w:space="0" w:color="auto"/>
        <w:bottom w:val="none" w:sz="0" w:space="0" w:color="auto"/>
        <w:right w:val="none" w:sz="0" w:space="0" w:color="auto"/>
      </w:divBdr>
    </w:div>
    <w:div w:id="445663710">
      <w:bodyDiv w:val="1"/>
      <w:marLeft w:val="0"/>
      <w:marRight w:val="0"/>
      <w:marTop w:val="0"/>
      <w:marBottom w:val="0"/>
      <w:divBdr>
        <w:top w:val="none" w:sz="0" w:space="0" w:color="auto"/>
        <w:left w:val="none" w:sz="0" w:space="0" w:color="auto"/>
        <w:bottom w:val="none" w:sz="0" w:space="0" w:color="auto"/>
        <w:right w:val="none" w:sz="0" w:space="0" w:color="auto"/>
      </w:divBdr>
    </w:div>
    <w:div w:id="458426511">
      <w:bodyDiv w:val="1"/>
      <w:marLeft w:val="0"/>
      <w:marRight w:val="0"/>
      <w:marTop w:val="0"/>
      <w:marBottom w:val="0"/>
      <w:divBdr>
        <w:top w:val="none" w:sz="0" w:space="0" w:color="auto"/>
        <w:left w:val="none" w:sz="0" w:space="0" w:color="auto"/>
        <w:bottom w:val="none" w:sz="0" w:space="0" w:color="auto"/>
        <w:right w:val="none" w:sz="0" w:space="0" w:color="auto"/>
      </w:divBdr>
    </w:div>
    <w:div w:id="478033031">
      <w:bodyDiv w:val="1"/>
      <w:marLeft w:val="0"/>
      <w:marRight w:val="0"/>
      <w:marTop w:val="0"/>
      <w:marBottom w:val="0"/>
      <w:divBdr>
        <w:top w:val="none" w:sz="0" w:space="0" w:color="auto"/>
        <w:left w:val="none" w:sz="0" w:space="0" w:color="auto"/>
        <w:bottom w:val="none" w:sz="0" w:space="0" w:color="auto"/>
        <w:right w:val="none" w:sz="0" w:space="0" w:color="auto"/>
      </w:divBdr>
    </w:div>
    <w:div w:id="481120538">
      <w:bodyDiv w:val="1"/>
      <w:marLeft w:val="0"/>
      <w:marRight w:val="0"/>
      <w:marTop w:val="0"/>
      <w:marBottom w:val="0"/>
      <w:divBdr>
        <w:top w:val="none" w:sz="0" w:space="0" w:color="auto"/>
        <w:left w:val="none" w:sz="0" w:space="0" w:color="auto"/>
        <w:bottom w:val="none" w:sz="0" w:space="0" w:color="auto"/>
        <w:right w:val="none" w:sz="0" w:space="0" w:color="auto"/>
      </w:divBdr>
    </w:div>
    <w:div w:id="484977809">
      <w:bodyDiv w:val="1"/>
      <w:marLeft w:val="0"/>
      <w:marRight w:val="0"/>
      <w:marTop w:val="0"/>
      <w:marBottom w:val="0"/>
      <w:divBdr>
        <w:top w:val="none" w:sz="0" w:space="0" w:color="auto"/>
        <w:left w:val="none" w:sz="0" w:space="0" w:color="auto"/>
        <w:bottom w:val="none" w:sz="0" w:space="0" w:color="auto"/>
        <w:right w:val="none" w:sz="0" w:space="0" w:color="auto"/>
      </w:divBdr>
    </w:div>
    <w:div w:id="485703560">
      <w:bodyDiv w:val="1"/>
      <w:marLeft w:val="0"/>
      <w:marRight w:val="0"/>
      <w:marTop w:val="0"/>
      <w:marBottom w:val="0"/>
      <w:divBdr>
        <w:top w:val="none" w:sz="0" w:space="0" w:color="auto"/>
        <w:left w:val="none" w:sz="0" w:space="0" w:color="auto"/>
        <w:bottom w:val="none" w:sz="0" w:space="0" w:color="auto"/>
        <w:right w:val="none" w:sz="0" w:space="0" w:color="auto"/>
      </w:divBdr>
    </w:div>
    <w:div w:id="494540795">
      <w:bodyDiv w:val="1"/>
      <w:marLeft w:val="0"/>
      <w:marRight w:val="0"/>
      <w:marTop w:val="0"/>
      <w:marBottom w:val="0"/>
      <w:divBdr>
        <w:top w:val="none" w:sz="0" w:space="0" w:color="auto"/>
        <w:left w:val="none" w:sz="0" w:space="0" w:color="auto"/>
        <w:bottom w:val="none" w:sz="0" w:space="0" w:color="auto"/>
        <w:right w:val="none" w:sz="0" w:space="0" w:color="auto"/>
      </w:divBdr>
    </w:div>
    <w:div w:id="496924527">
      <w:bodyDiv w:val="1"/>
      <w:marLeft w:val="0"/>
      <w:marRight w:val="0"/>
      <w:marTop w:val="0"/>
      <w:marBottom w:val="0"/>
      <w:divBdr>
        <w:top w:val="none" w:sz="0" w:space="0" w:color="auto"/>
        <w:left w:val="none" w:sz="0" w:space="0" w:color="auto"/>
        <w:bottom w:val="none" w:sz="0" w:space="0" w:color="auto"/>
        <w:right w:val="none" w:sz="0" w:space="0" w:color="auto"/>
      </w:divBdr>
    </w:div>
    <w:div w:id="500901081">
      <w:bodyDiv w:val="1"/>
      <w:marLeft w:val="0"/>
      <w:marRight w:val="0"/>
      <w:marTop w:val="0"/>
      <w:marBottom w:val="0"/>
      <w:divBdr>
        <w:top w:val="none" w:sz="0" w:space="0" w:color="auto"/>
        <w:left w:val="none" w:sz="0" w:space="0" w:color="auto"/>
        <w:bottom w:val="none" w:sz="0" w:space="0" w:color="auto"/>
        <w:right w:val="none" w:sz="0" w:space="0" w:color="auto"/>
      </w:divBdr>
    </w:div>
    <w:div w:id="508329029">
      <w:bodyDiv w:val="1"/>
      <w:marLeft w:val="0"/>
      <w:marRight w:val="0"/>
      <w:marTop w:val="0"/>
      <w:marBottom w:val="0"/>
      <w:divBdr>
        <w:top w:val="none" w:sz="0" w:space="0" w:color="auto"/>
        <w:left w:val="none" w:sz="0" w:space="0" w:color="auto"/>
        <w:bottom w:val="none" w:sz="0" w:space="0" w:color="auto"/>
        <w:right w:val="none" w:sz="0" w:space="0" w:color="auto"/>
      </w:divBdr>
    </w:div>
    <w:div w:id="509369117">
      <w:bodyDiv w:val="1"/>
      <w:marLeft w:val="0"/>
      <w:marRight w:val="0"/>
      <w:marTop w:val="0"/>
      <w:marBottom w:val="0"/>
      <w:divBdr>
        <w:top w:val="none" w:sz="0" w:space="0" w:color="auto"/>
        <w:left w:val="none" w:sz="0" w:space="0" w:color="auto"/>
        <w:bottom w:val="none" w:sz="0" w:space="0" w:color="auto"/>
        <w:right w:val="none" w:sz="0" w:space="0" w:color="auto"/>
      </w:divBdr>
    </w:div>
    <w:div w:id="509759825">
      <w:bodyDiv w:val="1"/>
      <w:marLeft w:val="0"/>
      <w:marRight w:val="0"/>
      <w:marTop w:val="0"/>
      <w:marBottom w:val="0"/>
      <w:divBdr>
        <w:top w:val="none" w:sz="0" w:space="0" w:color="auto"/>
        <w:left w:val="none" w:sz="0" w:space="0" w:color="auto"/>
        <w:bottom w:val="none" w:sz="0" w:space="0" w:color="auto"/>
        <w:right w:val="none" w:sz="0" w:space="0" w:color="auto"/>
      </w:divBdr>
    </w:div>
    <w:div w:id="525945249">
      <w:bodyDiv w:val="1"/>
      <w:marLeft w:val="0"/>
      <w:marRight w:val="0"/>
      <w:marTop w:val="0"/>
      <w:marBottom w:val="0"/>
      <w:divBdr>
        <w:top w:val="none" w:sz="0" w:space="0" w:color="auto"/>
        <w:left w:val="none" w:sz="0" w:space="0" w:color="auto"/>
        <w:bottom w:val="none" w:sz="0" w:space="0" w:color="auto"/>
        <w:right w:val="none" w:sz="0" w:space="0" w:color="auto"/>
      </w:divBdr>
    </w:div>
    <w:div w:id="527569329">
      <w:bodyDiv w:val="1"/>
      <w:marLeft w:val="0"/>
      <w:marRight w:val="0"/>
      <w:marTop w:val="0"/>
      <w:marBottom w:val="0"/>
      <w:divBdr>
        <w:top w:val="none" w:sz="0" w:space="0" w:color="auto"/>
        <w:left w:val="none" w:sz="0" w:space="0" w:color="auto"/>
        <w:bottom w:val="none" w:sz="0" w:space="0" w:color="auto"/>
        <w:right w:val="none" w:sz="0" w:space="0" w:color="auto"/>
      </w:divBdr>
    </w:div>
    <w:div w:id="527915299">
      <w:bodyDiv w:val="1"/>
      <w:marLeft w:val="0"/>
      <w:marRight w:val="0"/>
      <w:marTop w:val="0"/>
      <w:marBottom w:val="0"/>
      <w:divBdr>
        <w:top w:val="none" w:sz="0" w:space="0" w:color="auto"/>
        <w:left w:val="none" w:sz="0" w:space="0" w:color="auto"/>
        <w:bottom w:val="none" w:sz="0" w:space="0" w:color="auto"/>
        <w:right w:val="none" w:sz="0" w:space="0" w:color="auto"/>
      </w:divBdr>
    </w:div>
    <w:div w:id="530843499">
      <w:bodyDiv w:val="1"/>
      <w:marLeft w:val="0"/>
      <w:marRight w:val="0"/>
      <w:marTop w:val="0"/>
      <w:marBottom w:val="0"/>
      <w:divBdr>
        <w:top w:val="none" w:sz="0" w:space="0" w:color="auto"/>
        <w:left w:val="none" w:sz="0" w:space="0" w:color="auto"/>
        <w:bottom w:val="none" w:sz="0" w:space="0" w:color="auto"/>
        <w:right w:val="none" w:sz="0" w:space="0" w:color="auto"/>
      </w:divBdr>
    </w:div>
    <w:div w:id="531306394">
      <w:bodyDiv w:val="1"/>
      <w:marLeft w:val="0"/>
      <w:marRight w:val="0"/>
      <w:marTop w:val="0"/>
      <w:marBottom w:val="0"/>
      <w:divBdr>
        <w:top w:val="none" w:sz="0" w:space="0" w:color="auto"/>
        <w:left w:val="none" w:sz="0" w:space="0" w:color="auto"/>
        <w:bottom w:val="none" w:sz="0" w:space="0" w:color="auto"/>
        <w:right w:val="none" w:sz="0" w:space="0" w:color="auto"/>
      </w:divBdr>
    </w:div>
    <w:div w:id="534197704">
      <w:bodyDiv w:val="1"/>
      <w:marLeft w:val="0"/>
      <w:marRight w:val="0"/>
      <w:marTop w:val="0"/>
      <w:marBottom w:val="0"/>
      <w:divBdr>
        <w:top w:val="none" w:sz="0" w:space="0" w:color="auto"/>
        <w:left w:val="none" w:sz="0" w:space="0" w:color="auto"/>
        <w:bottom w:val="none" w:sz="0" w:space="0" w:color="auto"/>
        <w:right w:val="none" w:sz="0" w:space="0" w:color="auto"/>
      </w:divBdr>
    </w:div>
    <w:div w:id="540481203">
      <w:bodyDiv w:val="1"/>
      <w:marLeft w:val="0"/>
      <w:marRight w:val="0"/>
      <w:marTop w:val="0"/>
      <w:marBottom w:val="0"/>
      <w:divBdr>
        <w:top w:val="none" w:sz="0" w:space="0" w:color="auto"/>
        <w:left w:val="none" w:sz="0" w:space="0" w:color="auto"/>
        <w:bottom w:val="none" w:sz="0" w:space="0" w:color="auto"/>
        <w:right w:val="none" w:sz="0" w:space="0" w:color="auto"/>
      </w:divBdr>
    </w:div>
    <w:div w:id="545263149">
      <w:bodyDiv w:val="1"/>
      <w:marLeft w:val="0"/>
      <w:marRight w:val="0"/>
      <w:marTop w:val="0"/>
      <w:marBottom w:val="0"/>
      <w:divBdr>
        <w:top w:val="none" w:sz="0" w:space="0" w:color="auto"/>
        <w:left w:val="none" w:sz="0" w:space="0" w:color="auto"/>
        <w:bottom w:val="none" w:sz="0" w:space="0" w:color="auto"/>
        <w:right w:val="none" w:sz="0" w:space="0" w:color="auto"/>
      </w:divBdr>
    </w:div>
    <w:div w:id="545869176">
      <w:bodyDiv w:val="1"/>
      <w:marLeft w:val="0"/>
      <w:marRight w:val="0"/>
      <w:marTop w:val="0"/>
      <w:marBottom w:val="0"/>
      <w:divBdr>
        <w:top w:val="none" w:sz="0" w:space="0" w:color="auto"/>
        <w:left w:val="none" w:sz="0" w:space="0" w:color="auto"/>
        <w:bottom w:val="none" w:sz="0" w:space="0" w:color="auto"/>
        <w:right w:val="none" w:sz="0" w:space="0" w:color="auto"/>
      </w:divBdr>
    </w:div>
    <w:div w:id="549073565">
      <w:bodyDiv w:val="1"/>
      <w:marLeft w:val="0"/>
      <w:marRight w:val="0"/>
      <w:marTop w:val="0"/>
      <w:marBottom w:val="0"/>
      <w:divBdr>
        <w:top w:val="none" w:sz="0" w:space="0" w:color="auto"/>
        <w:left w:val="none" w:sz="0" w:space="0" w:color="auto"/>
        <w:bottom w:val="none" w:sz="0" w:space="0" w:color="auto"/>
        <w:right w:val="none" w:sz="0" w:space="0" w:color="auto"/>
      </w:divBdr>
    </w:div>
    <w:div w:id="549849607">
      <w:bodyDiv w:val="1"/>
      <w:marLeft w:val="0"/>
      <w:marRight w:val="0"/>
      <w:marTop w:val="0"/>
      <w:marBottom w:val="0"/>
      <w:divBdr>
        <w:top w:val="none" w:sz="0" w:space="0" w:color="auto"/>
        <w:left w:val="none" w:sz="0" w:space="0" w:color="auto"/>
        <w:bottom w:val="none" w:sz="0" w:space="0" w:color="auto"/>
        <w:right w:val="none" w:sz="0" w:space="0" w:color="auto"/>
      </w:divBdr>
    </w:div>
    <w:div w:id="557206068">
      <w:bodyDiv w:val="1"/>
      <w:marLeft w:val="0"/>
      <w:marRight w:val="0"/>
      <w:marTop w:val="0"/>
      <w:marBottom w:val="0"/>
      <w:divBdr>
        <w:top w:val="none" w:sz="0" w:space="0" w:color="auto"/>
        <w:left w:val="none" w:sz="0" w:space="0" w:color="auto"/>
        <w:bottom w:val="none" w:sz="0" w:space="0" w:color="auto"/>
        <w:right w:val="none" w:sz="0" w:space="0" w:color="auto"/>
      </w:divBdr>
    </w:div>
    <w:div w:id="562302138">
      <w:bodyDiv w:val="1"/>
      <w:marLeft w:val="0"/>
      <w:marRight w:val="0"/>
      <w:marTop w:val="0"/>
      <w:marBottom w:val="0"/>
      <w:divBdr>
        <w:top w:val="none" w:sz="0" w:space="0" w:color="auto"/>
        <w:left w:val="none" w:sz="0" w:space="0" w:color="auto"/>
        <w:bottom w:val="none" w:sz="0" w:space="0" w:color="auto"/>
        <w:right w:val="none" w:sz="0" w:space="0" w:color="auto"/>
      </w:divBdr>
    </w:div>
    <w:div w:id="563683682">
      <w:bodyDiv w:val="1"/>
      <w:marLeft w:val="0"/>
      <w:marRight w:val="0"/>
      <w:marTop w:val="0"/>
      <w:marBottom w:val="0"/>
      <w:divBdr>
        <w:top w:val="none" w:sz="0" w:space="0" w:color="auto"/>
        <w:left w:val="none" w:sz="0" w:space="0" w:color="auto"/>
        <w:bottom w:val="none" w:sz="0" w:space="0" w:color="auto"/>
        <w:right w:val="none" w:sz="0" w:space="0" w:color="auto"/>
      </w:divBdr>
    </w:div>
    <w:div w:id="567804372">
      <w:bodyDiv w:val="1"/>
      <w:marLeft w:val="0"/>
      <w:marRight w:val="0"/>
      <w:marTop w:val="0"/>
      <w:marBottom w:val="0"/>
      <w:divBdr>
        <w:top w:val="none" w:sz="0" w:space="0" w:color="auto"/>
        <w:left w:val="none" w:sz="0" w:space="0" w:color="auto"/>
        <w:bottom w:val="none" w:sz="0" w:space="0" w:color="auto"/>
        <w:right w:val="none" w:sz="0" w:space="0" w:color="auto"/>
      </w:divBdr>
    </w:div>
    <w:div w:id="570042445">
      <w:bodyDiv w:val="1"/>
      <w:marLeft w:val="0"/>
      <w:marRight w:val="0"/>
      <w:marTop w:val="0"/>
      <w:marBottom w:val="0"/>
      <w:divBdr>
        <w:top w:val="none" w:sz="0" w:space="0" w:color="auto"/>
        <w:left w:val="none" w:sz="0" w:space="0" w:color="auto"/>
        <w:bottom w:val="none" w:sz="0" w:space="0" w:color="auto"/>
        <w:right w:val="none" w:sz="0" w:space="0" w:color="auto"/>
      </w:divBdr>
    </w:div>
    <w:div w:id="578949538">
      <w:bodyDiv w:val="1"/>
      <w:marLeft w:val="0"/>
      <w:marRight w:val="0"/>
      <w:marTop w:val="0"/>
      <w:marBottom w:val="0"/>
      <w:divBdr>
        <w:top w:val="none" w:sz="0" w:space="0" w:color="auto"/>
        <w:left w:val="none" w:sz="0" w:space="0" w:color="auto"/>
        <w:bottom w:val="none" w:sz="0" w:space="0" w:color="auto"/>
        <w:right w:val="none" w:sz="0" w:space="0" w:color="auto"/>
      </w:divBdr>
    </w:div>
    <w:div w:id="582422684">
      <w:bodyDiv w:val="1"/>
      <w:marLeft w:val="0"/>
      <w:marRight w:val="0"/>
      <w:marTop w:val="0"/>
      <w:marBottom w:val="0"/>
      <w:divBdr>
        <w:top w:val="none" w:sz="0" w:space="0" w:color="auto"/>
        <w:left w:val="none" w:sz="0" w:space="0" w:color="auto"/>
        <w:bottom w:val="none" w:sz="0" w:space="0" w:color="auto"/>
        <w:right w:val="none" w:sz="0" w:space="0" w:color="auto"/>
      </w:divBdr>
    </w:div>
    <w:div w:id="585923692">
      <w:bodyDiv w:val="1"/>
      <w:marLeft w:val="0"/>
      <w:marRight w:val="0"/>
      <w:marTop w:val="0"/>
      <w:marBottom w:val="0"/>
      <w:divBdr>
        <w:top w:val="none" w:sz="0" w:space="0" w:color="auto"/>
        <w:left w:val="none" w:sz="0" w:space="0" w:color="auto"/>
        <w:bottom w:val="none" w:sz="0" w:space="0" w:color="auto"/>
        <w:right w:val="none" w:sz="0" w:space="0" w:color="auto"/>
      </w:divBdr>
    </w:div>
    <w:div w:id="591206060">
      <w:bodyDiv w:val="1"/>
      <w:marLeft w:val="0"/>
      <w:marRight w:val="0"/>
      <w:marTop w:val="0"/>
      <w:marBottom w:val="0"/>
      <w:divBdr>
        <w:top w:val="none" w:sz="0" w:space="0" w:color="auto"/>
        <w:left w:val="none" w:sz="0" w:space="0" w:color="auto"/>
        <w:bottom w:val="none" w:sz="0" w:space="0" w:color="auto"/>
        <w:right w:val="none" w:sz="0" w:space="0" w:color="auto"/>
      </w:divBdr>
    </w:div>
    <w:div w:id="595017426">
      <w:bodyDiv w:val="1"/>
      <w:marLeft w:val="0"/>
      <w:marRight w:val="0"/>
      <w:marTop w:val="0"/>
      <w:marBottom w:val="0"/>
      <w:divBdr>
        <w:top w:val="none" w:sz="0" w:space="0" w:color="auto"/>
        <w:left w:val="none" w:sz="0" w:space="0" w:color="auto"/>
        <w:bottom w:val="none" w:sz="0" w:space="0" w:color="auto"/>
        <w:right w:val="none" w:sz="0" w:space="0" w:color="auto"/>
      </w:divBdr>
    </w:div>
    <w:div w:id="598292069">
      <w:bodyDiv w:val="1"/>
      <w:marLeft w:val="0"/>
      <w:marRight w:val="0"/>
      <w:marTop w:val="0"/>
      <w:marBottom w:val="0"/>
      <w:divBdr>
        <w:top w:val="none" w:sz="0" w:space="0" w:color="auto"/>
        <w:left w:val="none" w:sz="0" w:space="0" w:color="auto"/>
        <w:bottom w:val="none" w:sz="0" w:space="0" w:color="auto"/>
        <w:right w:val="none" w:sz="0" w:space="0" w:color="auto"/>
      </w:divBdr>
    </w:div>
    <w:div w:id="602231269">
      <w:bodyDiv w:val="1"/>
      <w:marLeft w:val="0"/>
      <w:marRight w:val="0"/>
      <w:marTop w:val="0"/>
      <w:marBottom w:val="0"/>
      <w:divBdr>
        <w:top w:val="none" w:sz="0" w:space="0" w:color="auto"/>
        <w:left w:val="none" w:sz="0" w:space="0" w:color="auto"/>
        <w:bottom w:val="none" w:sz="0" w:space="0" w:color="auto"/>
        <w:right w:val="none" w:sz="0" w:space="0" w:color="auto"/>
      </w:divBdr>
    </w:div>
    <w:div w:id="603808155">
      <w:bodyDiv w:val="1"/>
      <w:marLeft w:val="0"/>
      <w:marRight w:val="0"/>
      <w:marTop w:val="0"/>
      <w:marBottom w:val="0"/>
      <w:divBdr>
        <w:top w:val="none" w:sz="0" w:space="0" w:color="auto"/>
        <w:left w:val="none" w:sz="0" w:space="0" w:color="auto"/>
        <w:bottom w:val="none" w:sz="0" w:space="0" w:color="auto"/>
        <w:right w:val="none" w:sz="0" w:space="0" w:color="auto"/>
      </w:divBdr>
    </w:div>
    <w:div w:id="614750646">
      <w:bodyDiv w:val="1"/>
      <w:marLeft w:val="0"/>
      <w:marRight w:val="0"/>
      <w:marTop w:val="0"/>
      <w:marBottom w:val="0"/>
      <w:divBdr>
        <w:top w:val="none" w:sz="0" w:space="0" w:color="auto"/>
        <w:left w:val="none" w:sz="0" w:space="0" w:color="auto"/>
        <w:bottom w:val="none" w:sz="0" w:space="0" w:color="auto"/>
        <w:right w:val="none" w:sz="0" w:space="0" w:color="auto"/>
      </w:divBdr>
    </w:div>
    <w:div w:id="616982930">
      <w:bodyDiv w:val="1"/>
      <w:marLeft w:val="0"/>
      <w:marRight w:val="0"/>
      <w:marTop w:val="0"/>
      <w:marBottom w:val="0"/>
      <w:divBdr>
        <w:top w:val="none" w:sz="0" w:space="0" w:color="auto"/>
        <w:left w:val="none" w:sz="0" w:space="0" w:color="auto"/>
        <w:bottom w:val="none" w:sz="0" w:space="0" w:color="auto"/>
        <w:right w:val="none" w:sz="0" w:space="0" w:color="auto"/>
      </w:divBdr>
    </w:div>
    <w:div w:id="621621232">
      <w:bodyDiv w:val="1"/>
      <w:marLeft w:val="0"/>
      <w:marRight w:val="0"/>
      <w:marTop w:val="0"/>
      <w:marBottom w:val="0"/>
      <w:divBdr>
        <w:top w:val="none" w:sz="0" w:space="0" w:color="auto"/>
        <w:left w:val="none" w:sz="0" w:space="0" w:color="auto"/>
        <w:bottom w:val="none" w:sz="0" w:space="0" w:color="auto"/>
        <w:right w:val="none" w:sz="0" w:space="0" w:color="auto"/>
      </w:divBdr>
    </w:div>
    <w:div w:id="627787277">
      <w:bodyDiv w:val="1"/>
      <w:marLeft w:val="0"/>
      <w:marRight w:val="0"/>
      <w:marTop w:val="0"/>
      <w:marBottom w:val="0"/>
      <w:divBdr>
        <w:top w:val="none" w:sz="0" w:space="0" w:color="auto"/>
        <w:left w:val="none" w:sz="0" w:space="0" w:color="auto"/>
        <w:bottom w:val="none" w:sz="0" w:space="0" w:color="auto"/>
        <w:right w:val="none" w:sz="0" w:space="0" w:color="auto"/>
      </w:divBdr>
    </w:div>
    <w:div w:id="635600366">
      <w:bodyDiv w:val="1"/>
      <w:marLeft w:val="0"/>
      <w:marRight w:val="0"/>
      <w:marTop w:val="0"/>
      <w:marBottom w:val="0"/>
      <w:divBdr>
        <w:top w:val="none" w:sz="0" w:space="0" w:color="auto"/>
        <w:left w:val="none" w:sz="0" w:space="0" w:color="auto"/>
        <w:bottom w:val="none" w:sz="0" w:space="0" w:color="auto"/>
        <w:right w:val="none" w:sz="0" w:space="0" w:color="auto"/>
      </w:divBdr>
    </w:div>
    <w:div w:id="641690961">
      <w:bodyDiv w:val="1"/>
      <w:marLeft w:val="0"/>
      <w:marRight w:val="0"/>
      <w:marTop w:val="0"/>
      <w:marBottom w:val="0"/>
      <w:divBdr>
        <w:top w:val="none" w:sz="0" w:space="0" w:color="auto"/>
        <w:left w:val="none" w:sz="0" w:space="0" w:color="auto"/>
        <w:bottom w:val="none" w:sz="0" w:space="0" w:color="auto"/>
        <w:right w:val="none" w:sz="0" w:space="0" w:color="auto"/>
      </w:divBdr>
    </w:div>
    <w:div w:id="645403038">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5912027">
      <w:bodyDiv w:val="1"/>
      <w:marLeft w:val="0"/>
      <w:marRight w:val="0"/>
      <w:marTop w:val="0"/>
      <w:marBottom w:val="0"/>
      <w:divBdr>
        <w:top w:val="none" w:sz="0" w:space="0" w:color="auto"/>
        <w:left w:val="none" w:sz="0" w:space="0" w:color="auto"/>
        <w:bottom w:val="none" w:sz="0" w:space="0" w:color="auto"/>
        <w:right w:val="none" w:sz="0" w:space="0" w:color="auto"/>
      </w:divBdr>
    </w:div>
    <w:div w:id="659040654">
      <w:bodyDiv w:val="1"/>
      <w:marLeft w:val="0"/>
      <w:marRight w:val="0"/>
      <w:marTop w:val="0"/>
      <w:marBottom w:val="0"/>
      <w:divBdr>
        <w:top w:val="none" w:sz="0" w:space="0" w:color="auto"/>
        <w:left w:val="none" w:sz="0" w:space="0" w:color="auto"/>
        <w:bottom w:val="none" w:sz="0" w:space="0" w:color="auto"/>
        <w:right w:val="none" w:sz="0" w:space="0" w:color="auto"/>
      </w:divBdr>
    </w:div>
    <w:div w:id="661085519">
      <w:bodyDiv w:val="1"/>
      <w:marLeft w:val="0"/>
      <w:marRight w:val="0"/>
      <w:marTop w:val="0"/>
      <w:marBottom w:val="0"/>
      <w:divBdr>
        <w:top w:val="none" w:sz="0" w:space="0" w:color="auto"/>
        <w:left w:val="none" w:sz="0" w:space="0" w:color="auto"/>
        <w:bottom w:val="none" w:sz="0" w:space="0" w:color="auto"/>
        <w:right w:val="none" w:sz="0" w:space="0" w:color="auto"/>
      </w:divBdr>
    </w:div>
    <w:div w:id="669405708">
      <w:bodyDiv w:val="1"/>
      <w:marLeft w:val="0"/>
      <w:marRight w:val="0"/>
      <w:marTop w:val="0"/>
      <w:marBottom w:val="0"/>
      <w:divBdr>
        <w:top w:val="none" w:sz="0" w:space="0" w:color="auto"/>
        <w:left w:val="none" w:sz="0" w:space="0" w:color="auto"/>
        <w:bottom w:val="none" w:sz="0" w:space="0" w:color="auto"/>
        <w:right w:val="none" w:sz="0" w:space="0" w:color="auto"/>
      </w:divBdr>
    </w:div>
    <w:div w:id="683628188">
      <w:bodyDiv w:val="1"/>
      <w:marLeft w:val="0"/>
      <w:marRight w:val="0"/>
      <w:marTop w:val="0"/>
      <w:marBottom w:val="0"/>
      <w:divBdr>
        <w:top w:val="none" w:sz="0" w:space="0" w:color="auto"/>
        <w:left w:val="none" w:sz="0" w:space="0" w:color="auto"/>
        <w:bottom w:val="none" w:sz="0" w:space="0" w:color="auto"/>
        <w:right w:val="none" w:sz="0" w:space="0" w:color="auto"/>
      </w:divBdr>
    </w:div>
    <w:div w:id="683675636">
      <w:bodyDiv w:val="1"/>
      <w:marLeft w:val="0"/>
      <w:marRight w:val="0"/>
      <w:marTop w:val="0"/>
      <w:marBottom w:val="0"/>
      <w:divBdr>
        <w:top w:val="none" w:sz="0" w:space="0" w:color="auto"/>
        <w:left w:val="none" w:sz="0" w:space="0" w:color="auto"/>
        <w:bottom w:val="none" w:sz="0" w:space="0" w:color="auto"/>
        <w:right w:val="none" w:sz="0" w:space="0" w:color="auto"/>
      </w:divBdr>
    </w:div>
    <w:div w:id="685063505">
      <w:bodyDiv w:val="1"/>
      <w:marLeft w:val="0"/>
      <w:marRight w:val="0"/>
      <w:marTop w:val="0"/>
      <w:marBottom w:val="0"/>
      <w:divBdr>
        <w:top w:val="none" w:sz="0" w:space="0" w:color="auto"/>
        <w:left w:val="none" w:sz="0" w:space="0" w:color="auto"/>
        <w:bottom w:val="none" w:sz="0" w:space="0" w:color="auto"/>
        <w:right w:val="none" w:sz="0" w:space="0" w:color="auto"/>
      </w:divBdr>
    </w:div>
    <w:div w:id="685717782">
      <w:bodyDiv w:val="1"/>
      <w:marLeft w:val="0"/>
      <w:marRight w:val="0"/>
      <w:marTop w:val="0"/>
      <w:marBottom w:val="0"/>
      <w:divBdr>
        <w:top w:val="none" w:sz="0" w:space="0" w:color="auto"/>
        <w:left w:val="none" w:sz="0" w:space="0" w:color="auto"/>
        <w:bottom w:val="none" w:sz="0" w:space="0" w:color="auto"/>
        <w:right w:val="none" w:sz="0" w:space="0" w:color="auto"/>
      </w:divBdr>
    </w:div>
    <w:div w:id="693069755">
      <w:bodyDiv w:val="1"/>
      <w:marLeft w:val="0"/>
      <w:marRight w:val="0"/>
      <w:marTop w:val="0"/>
      <w:marBottom w:val="0"/>
      <w:divBdr>
        <w:top w:val="none" w:sz="0" w:space="0" w:color="auto"/>
        <w:left w:val="none" w:sz="0" w:space="0" w:color="auto"/>
        <w:bottom w:val="none" w:sz="0" w:space="0" w:color="auto"/>
        <w:right w:val="none" w:sz="0" w:space="0" w:color="auto"/>
      </w:divBdr>
    </w:div>
    <w:div w:id="694773722">
      <w:bodyDiv w:val="1"/>
      <w:marLeft w:val="0"/>
      <w:marRight w:val="0"/>
      <w:marTop w:val="0"/>
      <w:marBottom w:val="0"/>
      <w:divBdr>
        <w:top w:val="none" w:sz="0" w:space="0" w:color="auto"/>
        <w:left w:val="none" w:sz="0" w:space="0" w:color="auto"/>
        <w:bottom w:val="none" w:sz="0" w:space="0" w:color="auto"/>
        <w:right w:val="none" w:sz="0" w:space="0" w:color="auto"/>
      </w:divBdr>
    </w:div>
    <w:div w:id="695038895">
      <w:bodyDiv w:val="1"/>
      <w:marLeft w:val="0"/>
      <w:marRight w:val="0"/>
      <w:marTop w:val="0"/>
      <w:marBottom w:val="0"/>
      <w:divBdr>
        <w:top w:val="none" w:sz="0" w:space="0" w:color="auto"/>
        <w:left w:val="none" w:sz="0" w:space="0" w:color="auto"/>
        <w:bottom w:val="none" w:sz="0" w:space="0" w:color="auto"/>
        <w:right w:val="none" w:sz="0" w:space="0" w:color="auto"/>
      </w:divBdr>
    </w:div>
    <w:div w:id="725028579">
      <w:bodyDiv w:val="1"/>
      <w:marLeft w:val="0"/>
      <w:marRight w:val="0"/>
      <w:marTop w:val="0"/>
      <w:marBottom w:val="0"/>
      <w:divBdr>
        <w:top w:val="none" w:sz="0" w:space="0" w:color="auto"/>
        <w:left w:val="none" w:sz="0" w:space="0" w:color="auto"/>
        <w:bottom w:val="none" w:sz="0" w:space="0" w:color="auto"/>
        <w:right w:val="none" w:sz="0" w:space="0" w:color="auto"/>
      </w:divBdr>
    </w:div>
    <w:div w:id="730083992">
      <w:bodyDiv w:val="1"/>
      <w:marLeft w:val="0"/>
      <w:marRight w:val="0"/>
      <w:marTop w:val="0"/>
      <w:marBottom w:val="0"/>
      <w:divBdr>
        <w:top w:val="none" w:sz="0" w:space="0" w:color="auto"/>
        <w:left w:val="none" w:sz="0" w:space="0" w:color="auto"/>
        <w:bottom w:val="none" w:sz="0" w:space="0" w:color="auto"/>
        <w:right w:val="none" w:sz="0" w:space="0" w:color="auto"/>
      </w:divBdr>
    </w:div>
    <w:div w:id="734623263">
      <w:bodyDiv w:val="1"/>
      <w:marLeft w:val="0"/>
      <w:marRight w:val="0"/>
      <w:marTop w:val="0"/>
      <w:marBottom w:val="0"/>
      <w:divBdr>
        <w:top w:val="none" w:sz="0" w:space="0" w:color="auto"/>
        <w:left w:val="none" w:sz="0" w:space="0" w:color="auto"/>
        <w:bottom w:val="none" w:sz="0" w:space="0" w:color="auto"/>
        <w:right w:val="none" w:sz="0" w:space="0" w:color="auto"/>
      </w:divBdr>
    </w:div>
    <w:div w:id="736324153">
      <w:bodyDiv w:val="1"/>
      <w:marLeft w:val="0"/>
      <w:marRight w:val="0"/>
      <w:marTop w:val="0"/>
      <w:marBottom w:val="0"/>
      <w:divBdr>
        <w:top w:val="none" w:sz="0" w:space="0" w:color="auto"/>
        <w:left w:val="none" w:sz="0" w:space="0" w:color="auto"/>
        <w:bottom w:val="none" w:sz="0" w:space="0" w:color="auto"/>
        <w:right w:val="none" w:sz="0" w:space="0" w:color="auto"/>
      </w:divBdr>
    </w:div>
    <w:div w:id="737361326">
      <w:bodyDiv w:val="1"/>
      <w:marLeft w:val="0"/>
      <w:marRight w:val="0"/>
      <w:marTop w:val="0"/>
      <w:marBottom w:val="0"/>
      <w:divBdr>
        <w:top w:val="none" w:sz="0" w:space="0" w:color="auto"/>
        <w:left w:val="none" w:sz="0" w:space="0" w:color="auto"/>
        <w:bottom w:val="none" w:sz="0" w:space="0" w:color="auto"/>
        <w:right w:val="none" w:sz="0" w:space="0" w:color="auto"/>
      </w:divBdr>
    </w:div>
    <w:div w:id="742993035">
      <w:bodyDiv w:val="1"/>
      <w:marLeft w:val="0"/>
      <w:marRight w:val="0"/>
      <w:marTop w:val="0"/>
      <w:marBottom w:val="0"/>
      <w:divBdr>
        <w:top w:val="none" w:sz="0" w:space="0" w:color="auto"/>
        <w:left w:val="none" w:sz="0" w:space="0" w:color="auto"/>
        <w:bottom w:val="none" w:sz="0" w:space="0" w:color="auto"/>
        <w:right w:val="none" w:sz="0" w:space="0" w:color="auto"/>
      </w:divBdr>
    </w:div>
    <w:div w:id="744185499">
      <w:bodyDiv w:val="1"/>
      <w:marLeft w:val="0"/>
      <w:marRight w:val="0"/>
      <w:marTop w:val="0"/>
      <w:marBottom w:val="0"/>
      <w:divBdr>
        <w:top w:val="none" w:sz="0" w:space="0" w:color="auto"/>
        <w:left w:val="none" w:sz="0" w:space="0" w:color="auto"/>
        <w:bottom w:val="none" w:sz="0" w:space="0" w:color="auto"/>
        <w:right w:val="none" w:sz="0" w:space="0" w:color="auto"/>
      </w:divBdr>
    </w:div>
    <w:div w:id="744297527">
      <w:bodyDiv w:val="1"/>
      <w:marLeft w:val="0"/>
      <w:marRight w:val="0"/>
      <w:marTop w:val="0"/>
      <w:marBottom w:val="0"/>
      <w:divBdr>
        <w:top w:val="none" w:sz="0" w:space="0" w:color="auto"/>
        <w:left w:val="none" w:sz="0" w:space="0" w:color="auto"/>
        <w:bottom w:val="none" w:sz="0" w:space="0" w:color="auto"/>
        <w:right w:val="none" w:sz="0" w:space="0" w:color="auto"/>
      </w:divBdr>
    </w:div>
    <w:div w:id="749892148">
      <w:bodyDiv w:val="1"/>
      <w:marLeft w:val="0"/>
      <w:marRight w:val="0"/>
      <w:marTop w:val="0"/>
      <w:marBottom w:val="0"/>
      <w:divBdr>
        <w:top w:val="none" w:sz="0" w:space="0" w:color="auto"/>
        <w:left w:val="none" w:sz="0" w:space="0" w:color="auto"/>
        <w:bottom w:val="none" w:sz="0" w:space="0" w:color="auto"/>
        <w:right w:val="none" w:sz="0" w:space="0" w:color="auto"/>
      </w:divBdr>
    </w:div>
    <w:div w:id="751707975">
      <w:bodyDiv w:val="1"/>
      <w:marLeft w:val="0"/>
      <w:marRight w:val="0"/>
      <w:marTop w:val="0"/>
      <w:marBottom w:val="0"/>
      <w:divBdr>
        <w:top w:val="none" w:sz="0" w:space="0" w:color="auto"/>
        <w:left w:val="none" w:sz="0" w:space="0" w:color="auto"/>
        <w:bottom w:val="none" w:sz="0" w:space="0" w:color="auto"/>
        <w:right w:val="none" w:sz="0" w:space="0" w:color="auto"/>
      </w:divBdr>
    </w:div>
    <w:div w:id="770276073">
      <w:bodyDiv w:val="1"/>
      <w:marLeft w:val="0"/>
      <w:marRight w:val="0"/>
      <w:marTop w:val="0"/>
      <w:marBottom w:val="0"/>
      <w:divBdr>
        <w:top w:val="none" w:sz="0" w:space="0" w:color="auto"/>
        <w:left w:val="none" w:sz="0" w:space="0" w:color="auto"/>
        <w:bottom w:val="none" w:sz="0" w:space="0" w:color="auto"/>
        <w:right w:val="none" w:sz="0" w:space="0" w:color="auto"/>
      </w:divBdr>
    </w:div>
    <w:div w:id="783623006">
      <w:bodyDiv w:val="1"/>
      <w:marLeft w:val="0"/>
      <w:marRight w:val="0"/>
      <w:marTop w:val="0"/>
      <w:marBottom w:val="0"/>
      <w:divBdr>
        <w:top w:val="none" w:sz="0" w:space="0" w:color="auto"/>
        <w:left w:val="none" w:sz="0" w:space="0" w:color="auto"/>
        <w:bottom w:val="none" w:sz="0" w:space="0" w:color="auto"/>
        <w:right w:val="none" w:sz="0" w:space="0" w:color="auto"/>
      </w:divBdr>
    </w:div>
    <w:div w:id="786317536">
      <w:bodyDiv w:val="1"/>
      <w:marLeft w:val="0"/>
      <w:marRight w:val="0"/>
      <w:marTop w:val="0"/>
      <w:marBottom w:val="0"/>
      <w:divBdr>
        <w:top w:val="none" w:sz="0" w:space="0" w:color="auto"/>
        <w:left w:val="none" w:sz="0" w:space="0" w:color="auto"/>
        <w:bottom w:val="none" w:sz="0" w:space="0" w:color="auto"/>
        <w:right w:val="none" w:sz="0" w:space="0" w:color="auto"/>
      </w:divBdr>
    </w:div>
    <w:div w:id="805897161">
      <w:bodyDiv w:val="1"/>
      <w:marLeft w:val="0"/>
      <w:marRight w:val="0"/>
      <w:marTop w:val="0"/>
      <w:marBottom w:val="0"/>
      <w:divBdr>
        <w:top w:val="none" w:sz="0" w:space="0" w:color="auto"/>
        <w:left w:val="none" w:sz="0" w:space="0" w:color="auto"/>
        <w:bottom w:val="none" w:sz="0" w:space="0" w:color="auto"/>
        <w:right w:val="none" w:sz="0" w:space="0" w:color="auto"/>
      </w:divBdr>
    </w:div>
    <w:div w:id="814220901">
      <w:bodyDiv w:val="1"/>
      <w:marLeft w:val="0"/>
      <w:marRight w:val="0"/>
      <w:marTop w:val="0"/>
      <w:marBottom w:val="0"/>
      <w:divBdr>
        <w:top w:val="none" w:sz="0" w:space="0" w:color="auto"/>
        <w:left w:val="none" w:sz="0" w:space="0" w:color="auto"/>
        <w:bottom w:val="none" w:sz="0" w:space="0" w:color="auto"/>
        <w:right w:val="none" w:sz="0" w:space="0" w:color="auto"/>
      </w:divBdr>
    </w:div>
    <w:div w:id="832641488">
      <w:bodyDiv w:val="1"/>
      <w:marLeft w:val="0"/>
      <w:marRight w:val="0"/>
      <w:marTop w:val="0"/>
      <w:marBottom w:val="0"/>
      <w:divBdr>
        <w:top w:val="none" w:sz="0" w:space="0" w:color="auto"/>
        <w:left w:val="none" w:sz="0" w:space="0" w:color="auto"/>
        <w:bottom w:val="none" w:sz="0" w:space="0" w:color="auto"/>
        <w:right w:val="none" w:sz="0" w:space="0" w:color="auto"/>
      </w:divBdr>
    </w:div>
    <w:div w:id="833379130">
      <w:bodyDiv w:val="1"/>
      <w:marLeft w:val="0"/>
      <w:marRight w:val="0"/>
      <w:marTop w:val="0"/>
      <w:marBottom w:val="0"/>
      <w:divBdr>
        <w:top w:val="none" w:sz="0" w:space="0" w:color="auto"/>
        <w:left w:val="none" w:sz="0" w:space="0" w:color="auto"/>
        <w:bottom w:val="none" w:sz="0" w:space="0" w:color="auto"/>
        <w:right w:val="none" w:sz="0" w:space="0" w:color="auto"/>
      </w:divBdr>
    </w:div>
    <w:div w:id="835651034">
      <w:bodyDiv w:val="1"/>
      <w:marLeft w:val="0"/>
      <w:marRight w:val="0"/>
      <w:marTop w:val="0"/>
      <w:marBottom w:val="0"/>
      <w:divBdr>
        <w:top w:val="none" w:sz="0" w:space="0" w:color="auto"/>
        <w:left w:val="none" w:sz="0" w:space="0" w:color="auto"/>
        <w:bottom w:val="none" w:sz="0" w:space="0" w:color="auto"/>
        <w:right w:val="none" w:sz="0" w:space="0" w:color="auto"/>
      </w:divBdr>
    </w:div>
    <w:div w:id="839537842">
      <w:bodyDiv w:val="1"/>
      <w:marLeft w:val="0"/>
      <w:marRight w:val="0"/>
      <w:marTop w:val="0"/>
      <w:marBottom w:val="0"/>
      <w:divBdr>
        <w:top w:val="none" w:sz="0" w:space="0" w:color="auto"/>
        <w:left w:val="none" w:sz="0" w:space="0" w:color="auto"/>
        <w:bottom w:val="none" w:sz="0" w:space="0" w:color="auto"/>
        <w:right w:val="none" w:sz="0" w:space="0" w:color="auto"/>
      </w:divBdr>
    </w:div>
    <w:div w:id="844326007">
      <w:bodyDiv w:val="1"/>
      <w:marLeft w:val="0"/>
      <w:marRight w:val="0"/>
      <w:marTop w:val="0"/>
      <w:marBottom w:val="0"/>
      <w:divBdr>
        <w:top w:val="none" w:sz="0" w:space="0" w:color="auto"/>
        <w:left w:val="none" w:sz="0" w:space="0" w:color="auto"/>
        <w:bottom w:val="none" w:sz="0" w:space="0" w:color="auto"/>
        <w:right w:val="none" w:sz="0" w:space="0" w:color="auto"/>
      </w:divBdr>
    </w:div>
    <w:div w:id="874924766">
      <w:bodyDiv w:val="1"/>
      <w:marLeft w:val="0"/>
      <w:marRight w:val="0"/>
      <w:marTop w:val="0"/>
      <w:marBottom w:val="0"/>
      <w:divBdr>
        <w:top w:val="none" w:sz="0" w:space="0" w:color="auto"/>
        <w:left w:val="none" w:sz="0" w:space="0" w:color="auto"/>
        <w:bottom w:val="none" w:sz="0" w:space="0" w:color="auto"/>
        <w:right w:val="none" w:sz="0" w:space="0" w:color="auto"/>
      </w:divBdr>
    </w:div>
    <w:div w:id="885488289">
      <w:bodyDiv w:val="1"/>
      <w:marLeft w:val="0"/>
      <w:marRight w:val="0"/>
      <w:marTop w:val="0"/>
      <w:marBottom w:val="0"/>
      <w:divBdr>
        <w:top w:val="none" w:sz="0" w:space="0" w:color="auto"/>
        <w:left w:val="none" w:sz="0" w:space="0" w:color="auto"/>
        <w:bottom w:val="none" w:sz="0" w:space="0" w:color="auto"/>
        <w:right w:val="none" w:sz="0" w:space="0" w:color="auto"/>
      </w:divBdr>
    </w:div>
    <w:div w:id="900017376">
      <w:bodyDiv w:val="1"/>
      <w:marLeft w:val="0"/>
      <w:marRight w:val="0"/>
      <w:marTop w:val="0"/>
      <w:marBottom w:val="0"/>
      <w:divBdr>
        <w:top w:val="none" w:sz="0" w:space="0" w:color="auto"/>
        <w:left w:val="none" w:sz="0" w:space="0" w:color="auto"/>
        <w:bottom w:val="none" w:sz="0" w:space="0" w:color="auto"/>
        <w:right w:val="none" w:sz="0" w:space="0" w:color="auto"/>
      </w:divBdr>
    </w:div>
    <w:div w:id="901020009">
      <w:bodyDiv w:val="1"/>
      <w:marLeft w:val="0"/>
      <w:marRight w:val="0"/>
      <w:marTop w:val="0"/>
      <w:marBottom w:val="0"/>
      <w:divBdr>
        <w:top w:val="none" w:sz="0" w:space="0" w:color="auto"/>
        <w:left w:val="none" w:sz="0" w:space="0" w:color="auto"/>
        <w:bottom w:val="none" w:sz="0" w:space="0" w:color="auto"/>
        <w:right w:val="none" w:sz="0" w:space="0" w:color="auto"/>
      </w:divBdr>
    </w:div>
    <w:div w:id="904990938">
      <w:bodyDiv w:val="1"/>
      <w:marLeft w:val="0"/>
      <w:marRight w:val="0"/>
      <w:marTop w:val="0"/>
      <w:marBottom w:val="0"/>
      <w:divBdr>
        <w:top w:val="none" w:sz="0" w:space="0" w:color="auto"/>
        <w:left w:val="none" w:sz="0" w:space="0" w:color="auto"/>
        <w:bottom w:val="none" w:sz="0" w:space="0" w:color="auto"/>
        <w:right w:val="none" w:sz="0" w:space="0" w:color="auto"/>
      </w:divBdr>
    </w:div>
    <w:div w:id="913902732">
      <w:bodyDiv w:val="1"/>
      <w:marLeft w:val="0"/>
      <w:marRight w:val="0"/>
      <w:marTop w:val="0"/>
      <w:marBottom w:val="0"/>
      <w:divBdr>
        <w:top w:val="none" w:sz="0" w:space="0" w:color="auto"/>
        <w:left w:val="none" w:sz="0" w:space="0" w:color="auto"/>
        <w:bottom w:val="none" w:sz="0" w:space="0" w:color="auto"/>
        <w:right w:val="none" w:sz="0" w:space="0" w:color="auto"/>
      </w:divBdr>
    </w:div>
    <w:div w:id="914707857">
      <w:bodyDiv w:val="1"/>
      <w:marLeft w:val="0"/>
      <w:marRight w:val="0"/>
      <w:marTop w:val="0"/>
      <w:marBottom w:val="0"/>
      <w:divBdr>
        <w:top w:val="none" w:sz="0" w:space="0" w:color="auto"/>
        <w:left w:val="none" w:sz="0" w:space="0" w:color="auto"/>
        <w:bottom w:val="none" w:sz="0" w:space="0" w:color="auto"/>
        <w:right w:val="none" w:sz="0" w:space="0" w:color="auto"/>
      </w:divBdr>
    </w:div>
    <w:div w:id="915627104">
      <w:bodyDiv w:val="1"/>
      <w:marLeft w:val="0"/>
      <w:marRight w:val="0"/>
      <w:marTop w:val="0"/>
      <w:marBottom w:val="0"/>
      <w:divBdr>
        <w:top w:val="none" w:sz="0" w:space="0" w:color="auto"/>
        <w:left w:val="none" w:sz="0" w:space="0" w:color="auto"/>
        <w:bottom w:val="none" w:sz="0" w:space="0" w:color="auto"/>
        <w:right w:val="none" w:sz="0" w:space="0" w:color="auto"/>
      </w:divBdr>
    </w:div>
    <w:div w:id="924536805">
      <w:bodyDiv w:val="1"/>
      <w:marLeft w:val="0"/>
      <w:marRight w:val="0"/>
      <w:marTop w:val="0"/>
      <w:marBottom w:val="0"/>
      <w:divBdr>
        <w:top w:val="none" w:sz="0" w:space="0" w:color="auto"/>
        <w:left w:val="none" w:sz="0" w:space="0" w:color="auto"/>
        <w:bottom w:val="none" w:sz="0" w:space="0" w:color="auto"/>
        <w:right w:val="none" w:sz="0" w:space="0" w:color="auto"/>
      </w:divBdr>
    </w:div>
    <w:div w:id="934241897">
      <w:bodyDiv w:val="1"/>
      <w:marLeft w:val="0"/>
      <w:marRight w:val="0"/>
      <w:marTop w:val="0"/>
      <w:marBottom w:val="0"/>
      <w:divBdr>
        <w:top w:val="none" w:sz="0" w:space="0" w:color="auto"/>
        <w:left w:val="none" w:sz="0" w:space="0" w:color="auto"/>
        <w:bottom w:val="none" w:sz="0" w:space="0" w:color="auto"/>
        <w:right w:val="none" w:sz="0" w:space="0" w:color="auto"/>
      </w:divBdr>
    </w:div>
    <w:div w:id="937754867">
      <w:bodyDiv w:val="1"/>
      <w:marLeft w:val="0"/>
      <w:marRight w:val="0"/>
      <w:marTop w:val="0"/>
      <w:marBottom w:val="0"/>
      <w:divBdr>
        <w:top w:val="none" w:sz="0" w:space="0" w:color="auto"/>
        <w:left w:val="none" w:sz="0" w:space="0" w:color="auto"/>
        <w:bottom w:val="none" w:sz="0" w:space="0" w:color="auto"/>
        <w:right w:val="none" w:sz="0" w:space="0" w:color="auto"/>
      </w:divBdr>
    </w:div>
    <w:div w:id="948657792">
      <w:bodyDiv w:val="1"/>
      <w:marLeft w:val="0"/>
      <w:marRight w:val="0"/>
      <w:marTop w:val="0"/>
      <w:marBottom w:val="0"/>
      <w:divBdr>
        <w:top w:val="none" w:sz="0" w:space="0" w:color="auto"/>
        <w:left w:val="none" w:sz="0" w:space="0" w:color="auto"/>
        <w:bottom w:val="none" w:sz="0" w:space="0" w:color="auto"/>
        <w:right w:val="none" w:sz="0" w:space="0" w:color="auto"/>
      </w:divBdr>
    </w:div>
    <w:div w:id="952443205">
      <w:bodyDiv w:val="1"/>
      <w:marLeft w:val="0"/>
      <w:marRight w:val="0"/>
      <w:marTop w:val="0"/>
      <w:marBottom w:val="0"/>
      <w:divBdr>
        <w:top w:val="none" w:sz="0" w:space="0" w:color="auto"/>
        <w:left w:val="none" w:sz="0" w:space="0" w:color="auto"/>
        <w:bottom w:val="none" w:sz="0" w:space="0" w:color="auto"/>
        <w:right w:val="none" w:sz="0" w:space="0" w:color="auto"/>
      </w:divBdr>
    </w:div>
    <w:div w:id="956371102">
      <w:bodyDiv w:val="1"/>
      <w:marLeft w:val="0"/>
      <w:marRight w:val="0"/>
      <w:marTop w:val="0"/>
      <w:marBottom w:val="0"/>
      <w:divBdr>
        <w:top w:val="none" w:sz="0" w:space="0" w:color="auto"/>
        <w:left w:val="none" w:sz="0" w:space="0" w:color="auto"/>
        <w:bottom w:val="none" w:sz="0" w:space="0" w:color="auto"/>
        <w:right w:val="none" w:sz="0" w:space="0" w:color="auto"/>
      </w:divBdr>
    </w:div>
    <w:div w:id="961182455">
      <w:bodyDiv w:val="1"/>
      <w:marLeft w:val="0"/>
      <w:marRight w:val="0"/>
      <w:marTop w:val="0"/>
      <w:marBottom w:val="0"/>
      <w:divBdr>
        <w:top w:val="none" w:sz="0" w:space="0" w:color="auto"/>
        <w:left w:val="none" w:sz="0" w:space="0" w:color="auto"/>
        <w:bottom w:val="none" w:sz="0" w:space="0" w:color="auto"/>
        <w:right w:val="none" w:sz="0" w:space="0" w:color="auto"/>
      </w:divBdr>
    </w:div>
    <w:div w:id="962266633">
      <w:bodyDiv w:val="1"/>
      <w:marLeft w:val="0"/>
      <w:marRight w:val="0"/>
      <w:marTop w:val="0"/>
      <w:marBottom w:val="0"/>
      <w:divBdr>
        <w:top w:val="none" w:sz="0" w:space="0" w:color="auto"/>
        <w:left w:val="none" w:sz="0" w:space="0" w:color="auto"/>
        <w:bottom w:val="none" w:sz="0" w:space="0" w:color="auto"/>
        <w:right w:val="none" w:sz="0" w:space="0" w:color="auto"/>
      </w:divBdr>
    </w:div>
    <w:div w:id="966156452">
      <w:bodyDiv w:val="1"/>
      <w:marLeft w:val="0"/>
      <w:marRight w:val="0"/>
      <w:marTop w:val="0"/>
      <w:marBottom w:val="0"/>
      <w:divBdr>
        <w:top w:val="none" w:sz="0" w:space="0" w:color="auto"/>
        <w:left w:val="none" w:sz="0" w:space="0" w:color="auto"/>
        <w:bottom w:val="none" w:sz="0" w:space="0" w:color="auto"/>
        <w:right w:val="none" w:sz="0" w:space="0" w:color="auto"/>
      </w:divBdr>
    </w:div>
    <w:div w:id="967976062">
      <w:bodyDiv w:val="1"/>
      <w:marLeft w:val="0"/>
      <w:marRight w:val="0"/>
      <w:marTop w:val="0"/>
      <w:marBottom w:val="0"/>
      <w:divBdr>
        <w:top w:val="none" w:sz="0" w:space="0" w:color="auto"/>
        <w:left w:val="none" w:sz="0" w:space="0" w:color="auto"/>
        <w:bottom w:val="none" w:sz="0" w:space="0" w:color="auto"/>
        <w:right w:val="none" w:sz="0" w:space="0" w:color="auto"/>
      </w:divBdr>
    </w:div>
    <w:div w:id="978462949">
      <w:bodyDiv w:val="1"/>
      <w:marLeft w:val="0"/>
      <w:marRight w:val="0"/>
      <w:marTop w:val="0"/>
      <w:marBottom w:val="0"/>
      <w:divBdr>
        <w:top w:val="none" w:sz="0" w:space="0" w:color="auto"/>
        <w:left w:val="none" w:sz="0" w:space="0" w:color="auto"/>
        <w:bottom w:val="none" w:sz="0" w:space="0" w:color="auto"/>
        <w:right w:val="none" w:sz="0" w:space="0" w:color="auto"/>
      </w:divBdr>
    </w:div>
    <w:div w:id="989528634">
      <w:bodyDiv w:val="1"/>
      <w:marLeft w:val="0"/>
      <w:marRight w:val="0"/>
      <w:marTop w:val="0"/>
      <w:marBottom w:val="0"/>
      <w:divBdr>
        <w:top w:val="none" w:sz="0" w:space="0" w:color="auto"/>
        <w:left w:val="none" w:sz="0" w:space="0" w:color="auto"/>
        <w:bottom w:val="none" w:sz="0" w:space="0" w:color="auto"/>
        <w:right w:val="none" w:sz="0" w:space="0" w:color="auto"/>
      </w:divBdr>
    </w:div>
    <w:div w:id="992023068">
      <w:bodyDiv w:val="1"/>
      <w:marLeft w:val="0"/>
      <w:marRight w:val="0"/>
      <w:marTop w:val="0"/>
      <w:marBottom w:val="0"/>
      <w:divBdr>
        <w:top w:val="none" w:sz="0" w:space="0" w:color="auto"/>
        <w:left w:val="none" w:sz="0" w:space="0" w:color="auto"/>
        <w:bottom w:val="none" w:sz="0" w:space="0" w:color="auto"/>
        <w:right w:val="none" w:sz="0" w:space="0" w:color="auto"/>
      </w:divBdr>
    </w:div>
    <w:div w:id="995230499">
      <w:bodyDiv w:val="1"/>
      <w:marLeft w:val="0"/>
      <w:marRight w:val="0"/>
      <w:marTop w:val="0"/>
      <w:marBottom w:val="0"/>
      <w:divBdr>
        <w:top w:val="none" w:sz="0" w:space="0" w:color="auto"/>
        <w:left w:val="none" w:sz="0" w:space="0" w:color="auto"/>
        <w:bottom w:val="none" w:sz="0" w:space="0" w:color="auto"/>
        <w:right w:val="none" w:sz="0" w:space="0" w:color="auto"/>
      </w:divBdr>
    </w:div>
    <w:div w:id="998509097">
      <w:bodyDiv w:val="1"/>
      <w:marLeft w:val="0"/>
      <w:marRight w:val="0"/>
      <w:marTop w:val="0"/>
      <w:marBottom w:val="0"/>
      <w:divBdr>
        <w:top w:val="none" w:sz="0" w:space="0" w:color="auto"/>
        <w:left w:val="none" w:sz="0" w:space="0" w:color="auto"/>
        <w:bottom w:val="none" w:sz="0" w:space="0" w:color="auto"/>
        <w:right w:val="none" w:sz="0" w:space="0" w:color="auto"/>
      </w:divBdr>
    </w:div>
    <w:div w:id="1005984578">
      <w:bodyDiv w:val="1"/>
      <w:marLeft w:val="0"/>
      <w:marRight w:val="0"/>
      <w:marTop w:val="0"/>
      <w:marBottom w:val="0"/>
      <w:divBdr>
        <w:top w:val="none" w:sz="0" w:space="0" w:color="auto"/>
        <w:left w:val="none" w:sz="0" w:space="0" w:color="auto"/>
        <w:bottom w:val="none" w:sz="0" w:space="0" w:color="auto"/>
        <w:right w:val="none" w:sz="0" w:space="0" w:color="auto"/>
      </w:divBdr>
    </w:div>
    <w:div w:id="1011831146">
      <w:bodyDiv w:val="1"/>
      <w:marLeft w:val="0"/>
      <w:marRight w:val="0"/>
      <w:marTop w:val="0"/>
      <w:marBottom w:val="0"/>
      <w:divBdr>
        <w:top w:val="none" w:sz="0" w:space="0" w:color="auto"/>
        <w:left w:val="none" w:sz="0" w:space="0" w:color="auto"/>
        <w:bottom w:val="none" w:sz="0" w:space="0" w:color="auto"/>
        <w:right w:val="none" w:sz="0" w:space="0" w:color="auto"/>
      </w:divBdr>
    </w:div>
    <w:div w:id="1016344302">
      <w:bodyDiv w:val="1"/>
      <w:marLeft w:val="0"/>
      <w:marRight w:val="0"/>
      <w:marTop w:val="0"/>
      <w:marBottom w:val="0"/>
      <w:divBdr>
        <w:top w:val="none" w:sz="0" w:space="0" w:color="auto"/>
        <w:left w:val="none" w:sz="0" w:space="0" w:color="auto"/>
        <w:bottom w:val="none" w:sz="0" w:space="0" w:color="auto"/>
        <w:right w:val="none" w:sz="0" w:space="0" w:color="auto"/>
      </w:divBdr>
    </w:div>
    <w:div w:id="1021467796">
      <w:bodyDiv w:val="1"/>
      <w:marLeft w:val="0"/>
      <w:marRight w:val="0"/>
      <w:marTop w:val="0"/>
      <w:marBottom w:val="0"/>
      <w:divBdr>
        <w:top w:val="none" w:sz="0" w:space="0" w:color="auto"/>
        <w:left w:val="none" w:sz="0" w:space="0" w:color="auto"/>
        <w:bottom w:val="none" w:sz="0" w:space="0" w:color="auto"/>
        <w:right w:val="none" w:sz="0" w:space="0" w:color="auto"/>
      </w:divBdr>
    </w:div>
    <w:div w:id="1024016043">
      <w:bodyDiv w:val="1"/>
      <w:marLeft w:val="0"/>
      <w:marRight w:val="0"/>
      <w:marTop w:val="0"/>
      <w:marBottom w:val="0"/>
      <w:divBdr>
        <w:top w:val="none" w:sz="0" w:space="0" w:color="auto"/>
        <w:left w:val="none" w:sz="0" w:space="0" w:color="auto"/>
        <w:bottom w:val="none" w:sz="0" w:space="0" w:color="auto"/>
        <w:right w:val="none" w:sz="0" w:space="0" w:color="auto"/>
      </w:divBdr>
    </w:div>
    <w:div w:id="1029602349">
      <w:bodyDiv w:val="1"/>
      <w:marLeft w:val="0"/>
      <w:marRight w:val="0"/>
      <w:marTop w:val="0"/>
      <w:marBottom w:val="0"/>
      <w:divBdr>
        <w:top w:val="none" w:sz="0" w:space="0" w:color="auto"/>
        <w:left w:val="none" w:sz="0" w:space="0" w:color="auto"/>
        <w:bottom w:val="none" w:sz="0" w:space="0" w:color="auto"/>
        <w:right w:val="none" w:sz="0" w:space="0" w:color="auto"/>
      </w:divBdr>
    </w:div>
    <w:div w:id="1033268867">
      <w:bodyDiv w:val="1"/>
      <w:marLeft w:val="0"/>
      <w:marRight w:val="0"/>
      <w:marTop w:val="0"/>
      <w:marBottom w:val="0"/>
      <w:divBdr>
        <w:top w:val="none" w:sz="0" w:space="0" w:color="auto"/>
        <w:left w:val="none" w:sz="0" w:space="0" w:color="auto"/>
        <w:bottom w:val="none" w:sz="0" w:space="0" w:color="auto"/>
        <w:right w:val="none" w:sz="0" w:space="0" w:color="auto"/>
      </w:divBdr>
    </w:div>
    <w:div w:id="1033456737">
      <w:bodyDiv w:val="1"/>
      <w:marLeft w:val="0"/>
      <w:marRight w:val="0"/>
      <w:marTop w:val="0"/>
      <w:marBottom w:val="0"/>
      <w:divBdr>
        <w:top w:val="none" w:sz="0" w:space="0" w:color="auto"/>
        <w:left w:val="none" w:sz="0" w:space="0" w:color="auto"/>
        <w:bottom w:val="none" w:sz="0" w:space="0" w:color="auto"/>
        <w:right w:val="none" w:sz="0" w:space="0" w:color="auto"/>
      </w:divBdr>
    </w:div>
    <w:div w:id="1042484767">
      <w:bodyDiv w:val="1"/>
      <w:marLeft w:val="0"/>
      <w:marRight w:val="0"/>
      <w:marTop w:val="0"/>
      <w:marBottom w:val="0"/>
      <w:divBdr>
        <w:top w:val="none" w:sz="0" w:space="0" w:color="auto"/>
        <w:left w:val="none" w:sz="0" w:space="0" w:color="auto"/>
        <w:bottom w:val="none" w:sz="0" w:space="0" w:color="auto"/>
        <w:right w:val="none" w:sz="0" w:space="0" w:color="auto"/>
      </w:divBdr>
    </w:div>
    <w:div w:id="1045955000">
      <w:bodyDiv w:val="1"/>
      <w:marLeft w:val="0"/>
      <w:marRight w:val="0"/>
      <w:marTop w:val="0"/>
      <w:marBottom w:val="0"/>
      <w:divBdr>
        <w:top w:val="none" w:sz="0" w:space="0" w:color="auto"/>
        <w:left w:val="none" w:sz="0" w:space="0" w:color="auto"/>
        <w:bottom w:val="none" w:sz="0" w:space="0" w:color="auto"/>
        <w:right w:val="none" w:sz="0" w:space="0" w:color="auto"/>
      </w:divBdr>
    </w:div>
    <w:div w:id="1048838394">
      <w:bodyDiv w:val="1"/>
      <w:marLeft w:val="0"/>
      <w:marRight w:val="0"/>
      <w:marTop w:val="0"/>
      <w:marBottom w:val="0"/>
      <w:divBdr>
        <w:top w:val="none" w:sz="0" w:space="0" w:color="auto"/>
        <w:left w:val="none" w:sz="0" w:space="0" w:color="auto"/>
        <w:bottom w:val="none" w:sz="0" w:space="0" w:color="auto"/>
        <w:right w:val="none" w:sz="0" w:space="0" w:color="auto"/>
      </w:divBdr>
    </w:div>
    <w:div w:id="1057122446">
      <w:bodyDiv w:val="1"/>
      <w:marLeft w:val="0"/>
      <w:marRight w:val="0"/>
      <w:marTop w:val="0"/>
      <w:marBottom w:val="0"/>
      <w:divBdr>
        <w:top w:val="none" w:sz="0" w:space="0" w:color="auto"/>
        <w:left w:val="none" w:sz="0" w:space="0" w:color="auto"/>
        <w:bottom w:val="none" w:sz="0" w:space="0" w:color="auto"/>
        <w:right w:val="none" w:sz="0" w:space="0" w:color="auto"/>
      </w:divBdr>
    </w:div>
    <w:div w:id="1061173941">
      <w:bodyDiv w:val="1"/>
      <w:marLeft w:val="0"/>
      <w:marRight w:val="0"/>
      <w:marTop w:val="0"/>
      <w:marBottom w:val="0"/>
      <w:divBdr>
        <w:top w:val="none" w:sz="0" w:space="0" w:color="auto"/>
        <w:left w:val="none" w:sz="0" w:space="0" w:color="auto"/>
        <w:bottom w:val="none" w:sz="0" w:space="0" w:color="auto"/>
        <w:right w:val="none" w:sz="0" w:space="0" w:color="auto"/>
      </w:divBdr>
    </w:div>
    <w:div w:id="1076171759">
      <w:bodyDiv w:val="1"/>
      <w:marLeft w:val="0"/>
      <w:marRight w:val="0"/>
      <w:marTop w:val="0"/>
      <w:marBottom w:val="0"/>
      <w:divBdr>
        <w:top w:val="none" w:sz="0" w:space="0" w:color="auto"/>
        <w:left w:val="none" w:sz="0" w:space="0" w:color="auto"/>
        <w:bottom w:val="none" w:sz="0" w:space="0" w:color="auto"/>
        <w:right w:val="none" w:sz="0" w:space="0" w:color="auto"/>
      </w:divBdr>
    </w:div>
    <w:div w:id="1079787086">
      <w:bodyDiv w:val="1"/>
      <w:marLeft w:val="0"/>
      <w:marRight w:val="0"/>
      <w:marTop w:val="0"/>
      <w:marBottom w:val="0"/>
      <w:divBdr>
        <w:top w:val="none" w:sz="0" w:space="0" w:color="auto"/>
        <w:left w:val="none" w:sz="0" w:space="0" w:color="auto"/>
        <w:bottom w:val="none" w:sz="0" w:space="0" w:color="auto"/>
        <w:right w:val="none" w:sz="0" w:space="0" w:color="auto"/>
      </w:divBdr>
    </w:div>
    <w:div w:id="1083915522">
      <w:bodyDiv w:val="1"/>
      <w:marLeft w:val="0"/>
      <w:marRight w:val="0"/>
      <w:marTop w:val="0"/>
      <w:marBottom w:val="0"/>
      <w:divBdr>
        <w:top w:val="none" w:sz="0" w:space="0" w:color="auto"/>
        <w:left w:val="none" w:sz="0" w:space="0" w:color="auto"/>
        <w:bottom w:val="none" w:sz="0" w:space="0" w:color="auto"/>
        <w:right w:val="none" w:sz="0" w:space="0" w:color="auto"/>
      </w:divBdr>
    </w:div>
    <w:div w:id="1084914247">
      <w:bodyDiv w:val="1"/>
      <w:marLeft w:val="0"/>
      <w:marRight w:val="0"/>
      <w:marTop w:val="0"/>
      <w:marBottom w:val="0"/>
      <w:divBdr>
        <w:top w:val="none" w:sz="0" w:space="0" w:color="auto"/>
        <w:left w:val="none" w:sz="0" w:space="0" w:color="auto"/>
        <w:bottom w:val="none" w:sz="0" w:space="0" w:color="auto"/>
        <w:right w:val="none" w:sz="0" w:space="0" w:color="auto"/>
      </w:divBdr>
    </w:div>
    <w:div w:id="1087772322">
      <w:bodyDiv w:val="1"/>
      <w:marLeft w:val="0"/>
      <w:marRight w:val="0"/>
      <w:marTop w:val="0"/>
      <w:marBottom w:val="0"/>
      <w:divBdr>
        <w:top w:val="none" w:sz="0" w:space="0" w:color="auto"/>
        <w:left w:val="none" w:sz="0" w:space="0" w:color="auto"/>
        <w:bottom w:val="none" w:sz="0" w:space="0" w:color="auto"/>
        <w:right w:val="none" w:sz="0" w:space="0" w:color="auto"/>
      </w:divBdr>
    </w:div>
    <w:div w:id="1091316742">
      <w:bodyDiv w:val="1"/>
      <w:marLeft w:val="0"/>
      <w:marRight w:val="0"/>
      <w:marTop w:val="0"/>
      <w:marBottom w:val="0"/>
      <w:divBdr>
        <w:top w:val="none" w:sz="0" w:space="0" w:color="auto"/>
        <w:left w:val="none" w:sz="0" w:space="0" w:color="auto"/>
        <w:bottom w:val="none" w:sz="0" w:space="0" w:color="auto"/>
        <w:right w:val="none" w:sz="0" w:space="0" w:color="auto"/>
      </w:divBdr>
    </w:div>
    <w:div w:id="1091971189">
      <w:bodyDiv w:val="1"/>
      <w:marLeft w:val="0"/>
      <w:marRight w:val="0"/>
      <w:marTop w:val="0"/>
      <w:marBottom w:val="0"/>
      <w:divBdr>
        <w:top w:val="none" w:sz="0" w:space="0" w:color="auto"/>
        <w:left w:val="none" w:sz="0" w:space="0" w:color="auto"/>
        <w:bottom w:val="none" w:sz="0" w:space="0" w:color="auto"/>
        <w:right w:val="none" w:sz="0" w:space="0" w:color="auto"/>
      </w:divBdr>
    </w:div>
    <w:div w:id="1092975001">
      <w:bodyDiv w:val="1"/>
      <w:marLeft w:val="0"/>
      <w:marRight w:val="0"/>
      <w:marTop w:val="0"/>
      <w:marBottom w:val="0"/>
      <w:divBdr>
        <w:top w:val="none" w:sz="0" w:space="0" w:color="auto"/>
        <w:left w:val="none" w:sz="0" w:space="0" w:color="auto"/>
        <w:bottom w:val="none" w:sz="0" w:space="0" w:color="auto"/>
        <w:right w:val="none" w:sz="0" w:space="0" w:color="auto"/>
      </w:divBdr>
    </w:div>
    <w:div w:id="1099177179">
      <w:bodyDiv w:val="1"/>
      <w:marLeft w:val="0"/>
      <w:marRight w:val="0"/>
      <w:marTop w:val="0"/>
      <w:marBottom w:val="0"/>
      <w:divBdr>
        <w:top w:val="none" w:sz="0" w:space="0" w:color="auto"/>
        <w:left w:val="none" w:sz="0" w:space="0" w:color="auto"/>
        <w:bottom w:val="none" w:sz="0" w:space="0" w:color="auto"/>
        <w:right w:val="none" w:sz="0" w:space="0" w:color="auto"/>
      </w:divBdr>
    </w:div>
    <w:div w:id="1104963341">
      <w:bodyDiv w:val="1"/>
      <w:marLeft w:val="0"/>
      <w:marRight w:val="0"/>
      <w:marTop w:val="0"/>
      <w:marBottom w:val="0"/>
      <w:divBdr>
        <w:top w:val="none" w:sz="0" w:space="0" w:color="auto"/>
        <w:left w:val="none" w:sz="0" w:space="0" w:color="auto"/>
        <w:bottom w:val="none" w:sz="0" w:space="0" w:color="auto"/>
        <w:right w:val="none" w:sz="0" w:space="0" w:color="auto"/>
      </w:divBdr>
    </w:div>
    <w:div w:id="1112549024">
      <w:bodyDiv w:val="1"/>
      <w:marLeft w:val="0"/>
      <w:marRight w:val="0"/>
      <w:marTop w:val="0"/>
      <w:marBottom w:val="0"/>
      <w:divBdr>
        <w:top w:val="none" w:sz="0" w:space="0" w:color="auto"/>
        <w:left w:val="none" w:sz="0" w:space="0" w:color="auto"/>
        <w:bottom w:val="none" w:sz="0" w:space="0" w:color="auto"/>
        <w:right w:val="none" w:sz="0" w:space="0" w:color="auto"/>
      </w:divBdr>
    </w:div>
    <w:div w:id="1117724147">
      <w:bodyDiv w:val="1"/>
      <w:marLeft w:val="0"/>
      <w:marRight w:val="0"/>
      <w:marTop w:val="0"/>
      <w:marBottom w:val="0"/>
      <w:divBdr>
        <w:top w:val="none" w:sz="0" w:space="0" w:color="auto"/>
        <w:left w:val="none" w:sz="0" w:space="0" w:color="auto"/>
        <w:bottom w:val="none" w:sz="0" w:space="0" w:color="auto"/>
        <w:right w:val="none" w:sz="0" w:space="0" w:color="auto"/>
      </w:divBdr>
    </w:div>
    <w:div w:id="1123840550">
      <w:bodyDiv w:val="1"/>
      <w:marLeft w:val="0"/>
      <w:marRight w:val="0"/>
      <w:marTop w:val="0"/>
      <w:marBottom w:val="0"/>
      <w:divBdr>
        <w:top w:val="none" w:sz="0" w:space="0" w:color="auto"/>
        <w:left w:val="none" w:sz="0" w:space="0" w:color="auto"/>
        <w:bottom w:val="none" w:sz="0" w:space="0" w:color="auto"/>
        <w:right w:val="none" w:sz="0" w:space="0" w:color="auto"/>
      </w:divBdr>
    </w:div>
    <w:div w:id="1132478072">
      <w:bodyDiv w:val="1"/>
      <w:marLeft w:val="0"/>
      <w:marRight w:val="0"/>
      <w:marTop w:val="0"/>
      <w:marBottom w:val="0"/>
      <w:divBdr>
        <w:top w:val="none" w:sz="0" w:space="0" w:color="auto"/>
        <w:left w:val="none" w:sz="0" w:space="0" w:color="auto"/>
        <w:bottom w:val="none" w:sz="0" w:space="0" w:color="auto"/>
        <w:right w:val="none" w:sz="0" w:space="0" w:color="auto"/>
      </w:divBdr>
    </w:div>
    <w:div w:id="1137727387">
      <w:bodyDiv w:val="1"/>
      <w:marLeft w:val="0"/>
      <w:marRight w:val="0"/>
      <w:marTop w:val="0"/>
      <w:marBottom w:val="0"/>
      <w:divBdr>
        <w:top w:val="none" w:sz="0" w:space="0" w:color="auto"/>
        <w:left w:val="none" w:sz="0" w:space="0" w:color="auto"/>
        <w:bottom w:val="none" w:sz="0" w:space="0" w:color="auto"/>
        <w:right w:val="none" w:sz="0" w:space="0" w:color="auto"/>
      </w:divBdr>
    </w:div>
    <w:div w:id="1137843233">
      <w:bodyDiv w:val="1"/>
      <w:marLeft w:val="0"/>
      <w:marRight w:val="0"/>
      <w:marTop w:val="0"/>
      <w:marBottom w:val="0"/>
      <w:divBdr>
        <w:top w:val="none" w:sz="0" w:space="0" w:color="auto"/>
        <w:left w:val="none" w:sz="0" w:space="0" w:color="auto"/>
        <w:bottom w:val="none" w:sz="0" w:space="0" w:color="auto"/>
        <w:right w:val="none" w:sz="0" w:space="0" w:color="auto"/>
      </w:divBdr>
    </w:div>
    <w:div w:id="1160198853">
      <w:bodyDiv w:val="1"/>
      <w:marLeft w:val="0"/>
      <w:marRight w:val="0"/>
      <w:marTop w:val="0"/>
      <w:marBottom w:val="0"/>
      <w:divBdr>
        <w:top w:val="none" w:sz="0" w:space="0" w:color="auto"/>
        <w:left w:val="none" w:sz="0" w:space="0" w:color="auto"/>
        <w:bottom w:val="none" w:sz="0" w:space="0" w:color="auto"/>
        <w:right w:val="none" w:sz="0" w:space="0" w:color="auto"/>
      </w:divBdr>
    </w:div>
    <w:div w:id="1175415575">
      <w:bodyDiv w:val="1"/>
      <w:marLeft w:val="0"/>
      <w:marRight w:val="0"/>
      <w:marTop w:val="0"/>
      <w:marBottom w:val="0"/>
      <w:divBdr>
        <w:top w:val="none" w:sz="0" w:space="0" w:color="auto"/>
        <w:left w:val="none" w:sz="0" w:space="0" w:color="auto"/>
        <w:bottom w:val="none" w:sz="0" w:space="0" w:color="auto"/>
        <w:right w:val="none" w:sz="0" w:space="0" w:color="auto"/>
      </w:divBdr>
    </w:div>
    <w:div w:id="1182013650">
      <w:bodyDiv w:val="1"/>
      <w:marLeft w:val="0"/>
      <w:marRight w:val="0"/>
      <w:marTop w:val="0"/>
      <w:marBottom w:val="0"/>
      <w:divBdr>
        <w:top w:val="none" w:sz="0" w:space="0" w:color="auto"/>
        <w:left w:val="none" w:sz="0" w:space="0" w:color="auto"/>
        <w:bottom w:val="none" w:sz="0" w:space="0" w:color="auto"/>
        <w:right w:val="none" w:sz="0" w:space="0" w:color="auto"/>
      </w:divBdr>
    </w:div>
    <w:div w:id="1186099309">
      <w:bodyDiv w:val="1"/>
      <w:marLeft w:val="0"/>
      <w:marRight w:val="0"/>
      <w:marTop w:val="0"/>
      <w:marBottom w:val="0"/>
      <w:divBdr>
        <w:top w:val="none" w:sz="0" w:space="0" w:color="auto"/>
        <w:left w:val="none" w:sz="0" w:space="0" w:color="auto"/>
        <w:bottom w:val="none" w:sz="0" w:space="0" w:color="auto"/>
        <w:right w:val="none" w:sz="0" w:space="0" w:color="auto"/>
      </w:divBdr>
    </w:div>
    <w:div w:id="1187713447">
      <w:bodyDiv w:val="1"/>
      <w:marLeft w:val="0"/>
      <w:marRight w:val="0"/>
      <w:marTop w:val="0"/>
      <w:marBottom w:val="0"/>
      <w:divBdr>
        <w:top w:val="none" w:sz="0" w:space="0" w:color="auto"/>
        <w:left w:val="none" w:sz="0" w:space="0" w:color="auto"/>
        <w:bottom w:val="none" w:sz="0" w:space="0" w:color="auto"/>
        <w:right w:val="none" w:sz="0" w:space="0" w:color="auto"/>
      </w:divBdr>
    </w:div>
    <w:div w:id="1188369959">
      <w:bodyDiv w:val="1"/>
      <w:marLeft w:val="0"/>
      <w:marRight w:val="0"/>
      <w:marTop w:val="0"/>
      <w:marBottom w:val="0"/>
      <w:divBdr>
        <w:top w:val="none" w:sz="0" w:space="0" w:color="auto"/>
        <w:left w:val="none" w:sz="0" w:space="0" w:color="auto"/>
        <w:bottom w:val="none" w:sz="0" w:space="0" w:color="auto"/>
        <w:right w:val="none" w:sz="0" w:space="0" w:color="auto"/>
      </w:divBdr>
    </w:div>
    <w:div w:id="1188635728">
      <w:bodyDiv w:val="1"/>
      <w:marLeft w:val="0"/>
      <w:marRight w:val="0"/>
      <w:marTop w:val="0"/>
      <w:marBottom w:val="0"/>
      <w:divBdr>
        <w:top w:val="none" w:sz="0" w:space="0" w:color="auto"/>
        <w:left w:val="none" w:sz="0" w:space="0" w:color="auto"/>
        <w:bottom w:val="none" w:sz="0" w:space="0" w:color="auto"/>
        <w:right w:val="none" w:sz="0" w:space="0" w:color="auto"/>
      </w:divBdr>
    </w:div>
    <w:div w:id="1189954049">
      <w:bodyDiv w:val="1"/>
      <w:marLeft w:val="0"/>
      <w:marRight w:val="0"/>
      <w:marTop w:val="0"/>
      <w:marBottom w:val="0"/>
      <w:divBdr>
        <w:top w:val="none" w:sz="0" w:space="0" w:color="auto"/>
        <w:left w:val="none" w:sz="0" w:space="0" w:color="auto"/>
        <w:bottom w:val="none" w:sz="0" w:space="0" w:color="auto"/>
        <w:right w:val="none" w:sz="0" w:space="0" w:color="auto"/>
      </w:divBdr>
    </w:div>
    <w:div w:id="1192953983">
      <w:bodyDiv w:val="1"/>
      <w:marLeft w:val="0"/>
      <w:marRight w:val="0"/>
      <w:marTop w:val="0"/>
      <w:marBottom w:val="0"/>
      <w:divBdr>
        <w:top w:val="none" w:sz="0" w:space="0" w:color="auto"/>
        <w:left w:val="none" w:sz="0" w:space="0" w:color="auto"/>
        <w:bottom w:val="none" w:sz="0" w:space="0" w:color="auto"/>
        <w:right w:val="none" w:sz="0" w:space="0" w:color="auto"/>
      </w:divBdr>
    </w:div>
    <w:div w:id="1194617244">
      <w:bodyDiv w:val="1"/>
      <w:marLeft w:val="0"/>
      <w:marRight w:val="0"/>
      <w:marTop w:val="0"/>
      <w:marBottom w:val="0"/>
      <w:divBdr>
        <w:top w:val="none" w:sz="0" w:space="0" w:color="auto"/>
        <w:left w:val="none" w:sz="0" w:space="0" w:color="auto"/>
        <w:bottom w:val="none" w:sz="0" w:space="0" w:color="auto"/>
        <w:right w:val="none" w:sz="0" w:space="0" w:color="auto"/>
      </w:divBdr>
    </w:div>
    <w:div w:id="1195655478">
      <w:bodyDiv w:val="1"/>
      <w:marLeft w:val="0"/>
      <w:marRight w:val="0"/>
      <w:marTop w:val="0"/>
      <w:marBottom w:val="0"/>
      <w:divBdr>
        <w:top w:val="none" w:sz="0" w:space="0" w:color="auto"/>
        <w:left w:val="none" w:sz="0" w:space="0" w:color="auto"/>
        <w:bottom w:val="none" w:sz="0" w:space="0" w:color="auto"/>
        <w:right w:val="none" w:sz="0" w:space="0" w:color="auto"/>
      </w:divBdr>
    </w:div>
    <w:div w:id="1196042358">
      <w:bodyDiv w:val="1"/>
      <w:marLeft w:val="0"/>
      <w:marRight w:val="0"/>
      <w:marTop w:val="0"/>
      <w:marBottom w:val="0"/>
      <w:divBdr>
        <w:top w:val="none" w:sz="0" w:space="0" w:color="auto"/>
        <w:left w:val="none" w:sz="0" w:space="0" w:color="auto"/>
        <w:bottom w:val="none" w:sz="0" w:space="0" w:color="auto"/>
        <w:right w:val="none" w:sz="0" w:space="0" w:color="auto"/>
      </w:divBdr>
    </w:div>
    <w:div w:id="1201085773">
      <w:bodyDiv w:val="1"/>
      <w:marLeft w:val="0"/>
      <w:marRight w:val="0"/>
      <w:marTop w:val="0"/>
      <w:marBottom w:val="0"/>
      <w:divBdr>
        <w:top w:val="none" w:sz="0" w:space="0" w:color="auto"/>
        <w:left w:val="none" w:sz="0" w:space="0" w:color="auto"/>
        <w:bottom w:val="none" w:sz="0" w:space="0" w:color="auto"/>
        <w:right w:val="none" w:sz="0" w:space="0" w:color="auto"/>
      </w:divBdr>
    </w:div>
    <w:div w:id="1219704941">
      <w:bodyDiv w:val="1"/>
      <w:marLeft w:val="0"/>
      <w:marRight w:val="0"/>
      <w:marTop w:val="0"/>
      <w:marBottom w:val="0"/>
      <w:divBdr>
        <w:top w:val="none" w:sz="0" w:space="0" w:color="auto"/>
        <w:left w:val="none" w:sz="0" w:space="0" w:color="auto"/>
        <w:bottom w:val="none" w:sz="0" w:space="0" w:color="auto"/>
        <w:right w:val="none" w:sz="0" w:space="0" w:color="auto"/>
      </w:divBdr>
    </w:div>
    <w:div w:id="1223523072">
      <w:bodyDiv w:val="1"/>
      <w:marLeft w:val="0"/>
      <w:marRight w:val="0"/>
      <w:marTop w:val="0"/>
      <w:marBottom w:val="0"/>
      <w:divBdr>
        <w:top w:val="none" w:sz="0" w:space="0" w:color="auto"/>
        <w:left w:val="none" w:sz="0" w:space="0" w:color="auto"/>
        <w:bottom w:val="none" w:sz="0" w:space="0" w:color="auto"/>
        <w:right w:val="none" w:sz="0" w:space="0" w:color="auto"/>
      </w:divBdr>
    </w:div>
    <w:div w:id="1223641844">
      <w:bodyDiv w:val="1"/>
      <w:marLeft w:val="0"/>
      <w:marRight w:val="0"/>
      <w:marTop w:val="0"/>
      <w:marBottom w:val="0"/>
      <w:divBdr>
        <w:top w:val="none" w:sz="0" w:space="0" w:color="auto"/>
        <w:left w:val="none" w:sz="0" w:space="0" w:color="auto"/>
        <w:bottom w:val="none" w:sz="0" w:space="0" w:color="auto"/>
        <w:right w:val="none" w:sz="0" w:space="0" w:color="auto"/>
      </w:divBdr>
    </w:div>
    <w:div w:id="1234924042">
      <w:bodyDiv w:val="1"/>
      <w:marLeft w:val="0"/>
      <w:marRight w:val="0"/>
      <w:marTop w:val="0"/>
      <w:marBottom w:val="0"/>
      <w:divBdr>
        <w:top w:val="none" w:sz="0" w:space="0" w:color="auto"/>
        <w:left w:val="none" w:sz="0" w:space="0" w:color="auto"/>
        <w:bottom w:val="none" w:sz="0" w:space="0" w:color="auto"/>
        <w:right w:val="none" w:sz="0" w:space="0" w:color="auto"/>
      </w:divBdr>
    </w:div>
    <w:div w:id="1237936595">
      <w:bodyDiv w:val="1"/>
      <w:marLeft w:val="0"/>
      <w:marRight w:val="0"/>
      <w:marTop w:val="0"/>
      <w:marBottom w:val="0"/>
      <w:divBdr>
        <w:top w:val="none" w:sz="0" w:space="0" w:color="auto"/>
        <w:left w:val="none" w:sz="0" w:space="0" w:color="auto"/>
        <w:bottom w:val="none" w:sz="0" w:space="0" w:color="auto"/>
        <w:right w:val="none" w:sz="0" w:space="0" w:color="auto"/>
      </w:divBdr>
    </w:div>
    <w:div w:id="1238054588">
      <w:bodyDiv w:val="1"/>
      <w:marLeft w:val="0"/>
      <w:marRight w:val="0"/>
      <w:marTop w:val="0"/>
      <w:marBottom w:val="0"/>
      <w:divBdr>
        <w:top w:val="none" w:sz="0" w:space="0" w:color="auto"/>
        <w:left w:val="none" w:sz="0" w:space="0" w:color="auto"/>
        <w:bottom w:val="none" w:sz="0" w:space="0" w:color="auto"/>
        <w:right w:val="none" w:sz="0" w:space="0" w:color="auto"/>
      </w:divBdr>
    </w:div>
    <w:div w:id="1240362966">
      <w:bodyDiv w:val="1"/>
      <w:marLeft w:val="0"/>
      <w:marRight w:val="0"/>
      <w:marTop w:val="0"/>
      <w:marBottom w:val="0"/>
      <w:divBdr>
        <w:top w:val="none" w:sz="0" w:space="0" w:color="auto"/>
        <w:left w:val="none" w:sz="0" w:space="0" w:color="auto"/>
        <w:bottom w:val="none" w:sz="0" w:space="0" w:color="auto"/>
        <w:right w:val="none" w:sz="0" w:space="0" w:color="auto"/>
      </w:divBdr>
    </w:div>
    <w:div w:id="1243296732">
      <w:bodyDiv w:val="1"/>
      <w:marLeft w:val="0"/>
      <w:marRight w:val="0"/>
      <w:marTop w:val="0"/>
      <w:marBottom w:val="0"/>
      <w:divBdr>
        <w:top w:val="none" w:sz="0" w:space="0" w:color="auto"/>
        <w:left w:val="none" w:sz="0" w:space="0" w:color="auto"/>
        <w:bottom w:val="none" w:sz="0" w:space="0" w:color="auto"/>
        <w:right w:val="none" w:sz="0" w:space="0" w:color="auto"/>
      </w:divBdr>
    </w:div>
    <w:div w:id="1249733734">
      <w:bodyDiv w:val="1"/>
      <w:marLeft w:val="0"/>
      <w:marRight w:val="0"/>
      <w:marTop w:val="0"/>
      <w:marBottom w:val="0"/>
      <w:divBdr>
        <w:top w:val="none" w:sz="0" w:space="0" w:color="auto"/>
        <w:left w:val="none" w:sz="0" w:space="0" w:color="auto"/>
        <w:bottom w:val="none" w:sz="0" w:space="0" w:color="auto"/>
        <w:right w:val="none" w:sz="0" w:space="0" w:color="auto"/>
      </w:divBdr>
    </w:div>
    <w:div w:id="1255942875">
      <w:bodyDiv w:val="1"/>
      <w:marLeft w:val="0"/>
      <w:marRight w:val="0"/>
      <w:marTop w:val="0"/>
      <w:marBottom w:val="0"/>
      <w:divBdr>
        <w:top w:val="none" w:sz="0" w:space="0" w:color="auto"/>
        <w:left w:val="none" w:sz="0" w:space="0" w:color="auto"/>
        <w:bottom w:val="none" w:sz="0" w:space="0" w:color="auto"/>
        <w:right w:val="none" w:sz="0" w:space="0" w:color="auto"/>
      </w:divBdr>
    </w:div>
    <w:div w:id="1256594949">
      <w:bodyDiv w:val="1"/>
      <w:marLeft w:val="0"/>
      <w:marRight w:val="0"/>
      <w:marTop w:val="0"/>
      <w:marBottom w:val="0"/>
      <w:divBdr>
        <w:top w:val="none" w:sz="0" w:space="0" w:color="auto"/>
        <w:left w:val="none" w:sz="0" w:space="0" w:color="auto"/>
        <w:bottom w:val="none" w:sz="0" w:space="0" w:color="auto"/>
        <w:right w:val="none" w:sz="0" w:space="0" w:color="auto"/>
      </w:divBdr>
    </w:div>
    <w:div w:id="1257057102">
      <w:bodyDiv w:val="1"/>
      <w:marLeft w:val="0"/>
      <w:marRight w:val="0"/>
      <w:marTop w:val="0"/>
      <w:marBottom w:val="0"/>
      <w:divBdr>
        <w:top w:val="none" w:sz="0" w:space="0" w:color="auto"/>
        <w:left w:val="none" w:sz="0" w:space="0" w:color="auto"/>
        <w:bottom w:val="none" w:sz="0" w:space="0" w:color="auto"/>
        <w:right w:val="none" w:sz="0" w:space="0" w:color="auto"/>
      </w:divBdr>
    </w:div>
    <w:div w:id="1267999169">
      <w:bodyDiv w:val="1"/>
      <w:marLeft w:val="0"/>
      <w:marRight w:val="0"/>
      <w:marTop w:val="0"/>
      <w:marBottom w:val="0"/>
      <w:divBdr>
        <w:top w:val="none" w:sz="0" w:space="0" w:color="auto"/>
        <w:left w:val="none" w:sz="0" w:space="0" w:color="auto"/>
        <w:bottom w:val="none" w:sz="0" w:space="0" w:color="auto"/>
        <w:right w:val="none" w:sz="0" w:space="0" w:color="auto"/>
      </w:divBdr>
    </w:div>
    <w:div w:id="1269854624">
      <w:bodyDiv w:val="1"/>
      <w:marLeft w:val="0"/>
      <w:marRight w:val="0"/>
      <w:marTop w:val="0"/>
      <w:marBottom w:val="0"/>
      <w:divBdr>
        <w:top w:val="none" w:sz="0" w:space="0" w:color="auto"/>
        <w:left w:val="none" w:sz="0" w:space="0" w:color="auto"/>
        <w:bottom w:val="none" w:sz="0" w:space="0" w:color="auto"/>
        <w:right w:val="none" w:sz="0" w:space="0" w:color="auto"/>
      </w:divBdr>
    </w:div>
    <w:div w:id="1276789406">
      <w:bodyDiv w:val="1"/>
      <w:marLeft w:val="0"/>
      <w:marRight w:val="0"/>
      <w:marTop w:val="0"/>
      <w:marBottom w:val="0"/>
      <w:divBdr>
        <w:top w:val="none" w:sz="0" w:space="0" w:color="auto"/>
        <w:left w:val="none" w:sz="0" w:space="0" w:color="auto"/>
        <w:bottom w:val="none" w:sz="0" w:space="0" w:color="auto"/>
        <w:right w:val="none" w:sz="0" w:space="0" w:color="auto"/>
      </w:divBdr>
    </w:div>
    <w:div w:id="1281641207">
      <w:bodyDiv w:val="1"/>
      <w:marLeft w:val="0"/>
      <w:marRight w:val="0"/>
      <w:marTop w:val="0"/>
      <w:marBottom w:val="0"/>
      <w:divBdr>
        <w:top w:val="none" w:sz="0" w:space="0" w:color="auto"/>
        <w:left w:val="none" w:sz="0" w:space="0" w:color="auto"/>
        <w:bottom w:val="none" w:sz="0" w:space="0" w:color="auto"/>
        <w:right w:val="none" w:sz="0" w:space="0" w:color="auto"/>
      </w:divBdr>
    </w:div>
    <w:div w:id="1281692346">
      <w:bodyDiv w:val="1"/>
      <w:marLeft w:val="0"/>
      <w:marRight w:val="0"/>
      <w:marTop w:val="0"/>
      <w:marBottom w:val="0"/>
      <w:divBdr>
        <w:top w:val="none" w:sz="0" w:space="0" w:color="auto"/>
        <w:left w:val="none" w:sz="0" w:space="0" w:color="auto"/>
        <w:bottom w:val="none" w:sz="0" w:space="0" w:color="auto"/>
        <w:right w:val="none" w:sz="0" w:space="0" w:color="auto"/>
      </w:divBdr>
    </w:div>
    <w:div w:id="1283531626">
      <w:bodyDiv w:val="1"/>
      <w:marLeft w:val="0"/>
      <w:marRight w:val="0"/>
      <w:marTop w:val="0"/>
      <w:marBottom w:val="0"/>
      <w:divBdr>
        <w:top w:val="none" w:sz="0" w:space="0" w:color="auto"/>
        <w:left w:val="none" w:sz="0" w:space="0" w:color="auto"/>
        <w:bottom w:val="none" w:sz="0" w:space="0" w:color="auto"/>
        <w:right w:val="none" w:sz="0" w:space="0" w:color="auto"/>
      </w:divBdr>
    </w:div>
    <w:div w:id="1285841719">
      <w:bodyDiv w:val="1"/>
      <w:marLeft w:val="0"/>
      <w:marRight w:val="0"/>
      <w:marTop w:val="0"/>
      <w:marBottom w:val="0"/>
      <w:divBdr>
        <w:top w:val="none" w:sz="0" w:space="0" w:color="auto"/>
        <w:left w:val="none" w:sz="0" w:space="0" w:color="auto"/>
        <w:bottom w:val="none" w:sz="0" w:space="0" w:color="auto"/>
        <w:right w:val="none" w:sz="0" w:space="0" w:color="auto"/>
      </w:divBdr>
    </w:div>
    <w:div w:id="1289898640">
      <w:bodyDiv w:val="1"/>
      <w:marLeft w:val="0"/>
      <w:marRight w:val="0"/>
      <w:marTop w:val="0"/>
      <w:marBottom w:val="0"/>
      <w:divBdr>
        <w:top w:val="none" w:sz="0" w:space="0" w:color="auto"/>
        <w:left w:val="none" w:sz="0" w:space="0" w:color="auto"/>
        <w:bottom w:val="none" w:sz="0" w:space="0" w:color="auto"/>
        <w:right w:val="none" w:sz="0" w:space="0" w:color="auto"/>
      </w:divBdr>
    </w:div>
    <w:div w:id="1306931243">
      <w:bodyDiv w:val="1"/>
      <w:marLeft w:val="0"/>
      <w:marRight w:val="0"/>
      <w:marTop w:val="0"/>
      <w:marBottom w:val="0"/>
      <w:divBdr>
        <w:top w:val="none" w:sz="0" w:space="0" w:color="auto"/>
        <w:left w:val="none" w:sz="0" w:space="0" w:color="auto"/>
        <w:bottom w:val="none" w:sz="0" w:space="0" w:color="auto"/>
        <w:right w:val="none" w:sz="0" w:space="0" w:color="auto"/>
      </w:divBdr>
    </w:div>
    <w:div w:id="1309675677">
      <w:bodyDiv w:val="1"/>
      <w:marLeft w:val="0"/>
      <w:marRight w:val="0"/>
      <w:marTop w:val="0"/>
      <w:marBottom w:val="0"/>
      <w:divBdr>
        <w:top w:val="none" w:sz="0" w:space="0" w:color="auto"/>
        <w:left w:val="none" w:sz="0" w:space="0" w:color="auto"/>
        <w:bottom w:val="none" w:sz="0" w:space="0" w:color="auto"/>
        <w:right w:val="none" w:sz="0" w:space="0" w:color="auto"/>
      </w:divBdr>
    </w:div>
    <w:div w:id="1309700156">
      <w:bodyDiv w:val="1"/>
      <w:marLeft w:val="0"/>
      <w:marRight w:val="0"/>
      <w:marTop w:val="0"/>
      <w:marBottom w:val="0"/>
      <w:divBdr>
        <w:top w:val="none" w:sz="0" w:space="0" w:color="auto"/>
        <w:left w:val="none" w:sz="0" w:space="0" w:color="auto"/>
        <w:bottom w:val="none" w:sz="0" w:space="0" w:color="auto"/>
        <w:right w:val="none" w:sz="0" w:space="0" w:color="auto"/>
      </w:divBdr>
    </w:div>
    <w:div w:id="1311136596">
      <w:bodyDiv w:val="1"/>
      <w:marLeft w:val="0"/>
      <w:marRight w:val="0"/>
      <w:marTop w:val="0"/>
      <w:marBottom w:val="0"/>
      <w:divBdr>
        <w:top w:val="none" w:sz="0" w:space="0" w:color="auto"/>
        <w:left w:val="none" w:sz="0" w:space="0" w:color="auto"/>
        <w:bottom w:val="none" w:sz="0" w:space="0" w:color="auto"/>
        <w:right w:val="none" w:sz="0" w:space="0" w:color="auto"/>
      </w:divBdr>
    </w:div>
    <w:div w:id="1320228329">
      <w:bodyDiv w:val="1"/>
      <w:marLeft w:val="0"/>
      <w:marRight w:val="0"/>
      <w:marTop w:val="0"/>
      <w:marBottom w:val="0"/>
      <w:divBdr>
        <w:top w:val="none" w:sz="0" w:space="0" w:color="auto"/>
        <w:left w:val="none" w:sz="0" w:space="0" w:color="auto"/>
        <w:bottom w:val="none" w:sz="0" w:space="0" w:color="auto"/>
        <w:right w:val="none" w:sz="0" w:space="0" w:color="auto"/>
      </w:divBdr>
    </w:div>
    <w:div w:id="1330208583">
      <w:bodyDiv w:val="1"/>
      <w:marLeft w:val="0"/>
      <w:marRight w:val="0"/>
      <w:marTop w:val="0"/>
      <w:marBottom w:val="0"/>
      <w:divBdr>
        <w:top w:val="none" w:sz="0" w:space="0" w:color="auto"/>
        <w:left w:val="none" w:sz="0" w:space="0" w:color="auto"/>
        <w:bottom w:val="none" w:sz="0" w:space="0" w:color="auto"/>
        <w:right w:val="none" w:sz="0" w:space="0" w:color="auto"/>
      </w:divBdr>
    </w:div>
    <w:div w:id="1333751996">
      <w:bodyDiv w:val="1"/>
      <w:marLeft w:val="0"/>
      <w:marRight w:val="0"/>
      <w:marTop w:val="0"/>
      <w:marBottom w:val="0"/>
      <w:divBdr>
        <w:top w:val="none" w:sz="0" w:space="0" w:color="auto"/>
        <w:left w:val="none" w:sz="0" w:space="0" w:color="auto"/>
        <w:bottom w:val="none" w:sz="0" w:space="0" w:color="auto"/>
        <w:right w:val="none" w:sz="0" w:space="0" w:color="auto"/>
      </w:divBdr>
    </w:div>
    <w:div w:id="1337073834">
      <w:bodyDiv w:val="1"/>
      <w:marLeft w:val="0"/>
      <w:marRight w:val="0"/>
      <w:marTop w:val="0"/>
      <w:marBottom w:val="0"/>
      <w:divBdr>
        <w:top w:val="none" w:sz="0" w:space="0" w:color="auto"/>
        <w:left w:val="none" w:sz="0" w:space="0" w:color="auto"/>
        <w:bottom w:val="none" w:sz="0" w:space="0" w:color="auto"/>
        <w:right w:val="none" w:sz="0" w:space="0" w:color="auto"/>
      </w:divBdr>
    </w:div>
    <w:div w:id="1340548740">
      <w:bodyDiv w:val="1"/>
      <w:marLeft w:val="0"/>
      <w:marRight w:val="0"/>
      <w:marTop w:val="0"/>
      <w:marBottom w:val="0"/>
      <w:divBdr>
        <w:top w:val="none" w:sz="0" w:space="0" w:color="auto"/>
        <w:left w:val="none" w:sz="0" w:space="0" w:color="auto"/>
        <w:bottom w:val="none" w:sz="0" w:space="0" w:color="auto"/>
        <w:right w:val="none" w:sz="0" w:space="0" w:color="auto"/>
      </w:divBdr>
    </w:div>
    <w:div w:id="1342778905">
      <w:bodyDiv w:val="1"/>
      <w:marLeft w:val="0"/>
      <w:marRight w:val="0"/>
      <w:marTop w:val="0"/>
      <w:marBottom w:val="0"/>
      <w:divBdr>
        <w:top w:val="none" w:sz="0" w:space="0" w:color="auto"/>
        <w:left w:val="none" w:sz="0" w:space="0" w:color="auto"/>
        <w:bottom w:val="none" w:sz="0" w:space="0" w:color="auto"/>
        <w:right w:val="none" w:sz="0" w:space="0" w:color="auto"/>
      </w:divBdr>
    </w:div>
    <w:div w:id="1342927247">
      <w:bodyDiv w:val="1"/>
      <w:marLeft w:val="0"/>
      <w:marRight w:val="0"/>
      <w:marTop w:val="0"/>
      <w:marBottom w:val="0"/>
      <w:divBdr>
        <w:top w:val="none" w:sz="0" w:space="0" w:color="auto"/>
        <w:left w:val="none" w:sz="0" w:space="0" w:color="auto"/>
        <w:bottom w:val="none" w:sz="0" w:space="0" w:color="auto"/>
        <w:right w:val="none" w:sz="0" w:space="0" w:color="auto"/>
      </w:divBdr>
    </w:div>
    <w:div w:id="1343125583">
      <w:bodyDiv w:val="1"/>
      <w:marLeft w:val="0"/>
      <w:marRight w:val="0"/>
      <w:marTop w:val="0"/>
      <w:marBottom w:val="0"/>
      <w:divBdr>
        <w:top w:val="none" w:sz="0" w:space="0" w:color="auto"/>
        <w:left w:val="none" w:sz="0" w:space="0" w:color="auto"/>
        <w:bottom w:val="none" w:sz="0" w:space="0" w:color="auto"/>
        <w:right w:val="none" w:sz="0" w:space="0" w:color="auto"/>
      </w:divBdr>
    </w:div>
    <w:div w:id="1350790583">
      <w:bodyDiv w:val="1"/>
      <w:marLeft w:val="0"/>
      <w:marRight w:val="0"/>
      <w:marTop w:val="0"/>
      <w:marBottom w:val="0"/>
      <w:divBdr>
        <w:top w:val="none" w:sz="0" w:space="0" w:color="auto"/>
        <w:left w:val="none" w:sz="0" w:space="0" w:color="auto"/>
        <w:bottom w:val="none" w:sz="0" w:space="0" w:color="auto"/>
        <w:right w:val="none" w:sz="0" w:space="0" w:color="auto"/>
      </w:divBdr>
    </w:div>
    <w:div w:id="1353192810">
      <w:bodyDiv w:val="1"/>
      <w:marLeft w:val="0"/>
      <w:marRight w:val="0"/>
      <w:marTop w:val="0"/>
      <w:marBottom w:val="0"/>
      <w:divBdr>
        <w:top w:val="none" w:sz="0" w:space="0" w:color="auto"/>
        <w:left w:val="none" w:sz="0" w:space="0" w:color="auto"/>
        <w:bottom w:val="none" w:sz="0" w:space="0" w:color="auto"/>
        <w:right w:val="none" w:sz="0" w:space="0" w:color="auto"/>
      </w:divBdr>
    </w:div>
    <w:div w:id="1362318096">
      <w:bodyDiv w:val="1"/>
      <w:marLeft w:val="0"/>
      <w:marRight w:val="0"/>
      <w:marTop w:val="0"/>
      <w:marBottom w:val="0"/>
      <w:divBdr>
        <w:top w:val="none" w:sz="0" w:space="0" w:color="auto"/>
        <w:left w:val="none" w:sz="0" w:space="0" w:color="auto"/>
        <w:bottom w:val="none" w:sz="0" w:space="0" w:color="auto"/>
        <w:right w:val="none" w:sz="0" w:space="0" w:color="auto"/>
      </w:divBdr>
    </w:div>
    <w:div w:id="1366635591">
      <w:bodyDiv w:val="1"/>
      <w:marLeft w:val="0"/>
      <w:marRight w:val="0"/>
      <w:marTop w:val="0"/>
      <w:marBottom w:val="0"/>
      <w:divBdr>
        <w:top w:val="none" w:sz="0" w:space="0" w:color="auto"/>
        <w:left w:val="none" w:sz="0" w:space="0" w:color="auto"/>
        <w:bottom w:val="none" w:sz="0" w:space="0" w:color="auto"/>
        <w:right w:val="none" w:sz="0" w:space="0" w:color="auto"/>
      </w:divBdr>
    </w:div>
    <w:div w:id="1371496514">
      <w:bodyDiv w:val="1"/>
      <w:marLeft w:val="0"/>
      <w:marRight w:val="0"/>
      <w:marTop w:val="0"/>
      <w:marBottom w:val="0"/>
      <w:divBdr>
        <w:top w:val="none" w:sz="0" w:space="0" w:color="auto"/>
        <w:left w:val="none" w:sz="0" w:space="0" w:color="auto"/>
        <w:bottom w:val="none" w:sz="0" w:space="0" w:color="auto"/>
        <w:right w:val="none" w:sz="0" w:space="0" w:color="auto"/>
      </w:divBdr>
    </w:div>
    <w:div w:id="1375234331">
      <w:bodyDiv w:val="1"/>
      <w:marLeft w:val="0"/>
      <w:marRight w:val="0"/>
      <w:marTop w:val="0"/>
      <w:marBottom w:val="0"/>
      <w:divBdr>
        <w:top w:val="none" w:sz="0" w:space="0" w:color="auto"/>
        <w:left w:val="none" w:sz="0" w:space="0" w:color="auto"/>
        <w:bottom w:val="none" w:sz="0" w:space="0" w:color="auto"/>
        <w:right w:val="none" w:sz="0" w:space="0" w:color="auto"/>
      </w:divBdr>
    </w:div>
    <w:div w:id="1375302691">
      <w:bodyDiv w:val="1"/>
      <w:marLeft w:val="0"/>
      <w:marRight w:val="0"/>
      <w:marTop w:val="0"/>
      <w:marBottom w:val="0"/>
      <w:divBdr>
        <w:top w:val="none" w:sz="0" w:space="0" w:color="auto"/>
        <w:left w:val="none" w:sz="0" w:space="0" w:color="auto"/>
        <w:bottom w:val="none" w:sz="0" w:space="0" w:color="auto"/>
        <w:right w:val="none" w:sz="0" w:space="0" w:color="auto"/>
      </w:divBdr>
    </w:div>
    <w:div w:id="1380744490">
      <w:bodyDiv w:val="1"/>
      <w:marLeft w:val="0"/>
      <w:marRight w:val="0"/>
      <w:marTop w:val="0"/>
      <w:marBottom w:val="0"/>
      <w:divBdr>
        <w:top w:val="none" w:sz="0" w:space="0" w:color="auto"/>
        <w:left w:val="none" w:sz="0" w:space="0" w:color="auto"/>
        <w:bottom w:val="none" w:sz="0" w:space="0" w:color="auto"/>
        <w:right w:val="none" w:sz="0" w:space="0" w:color="auto"/>
      </w:divBdr>
    </w:div>
    <w:div w:id="1382711036">
      <w:bodyDiv w:val="1"/>
      <w:marLeft w:val="0"/>
      <w:marRight w:val="0"/>
      <w:marTop w:val="0"/>
      <w:marBottom w:val="0"/>
      <w:divBdr>
        <w:top w:val="none" w:sz="0" w:space="0" w:color="auto"/>
        <w:left w:val="none" w:sz="0" w:space="0" w:color="auto"/>
        <w:bottom w:val="none" w:sz="0" w:space="0" w:color="auto"/>
        <w:right w:val="none" w:sz="0" w:space="0" w:color="auto"/>
      </w:divBdr>
    </w:div>
    <w:div w:id="1407613056">
      <w:bodyDiv w:val="1"/>
      <w:marLeft w:val="0"/>
      <w:marRight w:val="0"/>
      <w:marTop w:val="0"/>
      <w:marBottom w:val="0"/>
      <w:divBdr>
        <w:top w:val="none" w:sz="0" w:space="0" w:color="auto"/>
        <w:left w:val="none" w:sz="0" w:space="0" w:color="auto"/>
        <w:bottom w:val="none" w:sz="0" w:space="0" w:color="auto"/>
        <w:right w:val="none" w:sz="0" w:space="0" w:color="auto"/>
      </w:divBdr>
    </w:div>
    <w:div w:id="1413046517">
      <w:bodyDiv w:val="1"/>
      <w:marLeft w:val="0"/>
      <w:marRight w:val="0"/>
      <w:marTop w:val="0"/>
      <w:marBottom w:val="0"/>
      <w:divBdr>
        <w:top w:val="none" w:sz="0" w:space="0" w:color="auto"/>
        <w:left w:val="none" w:sz="0" w:space="0" w:color="auto"/>
        <w:bottom w:val="none" w:sz="0" w:space="0" w:color="auto"/>
        <w:right w:val="none" w:sz="0" w:space="0" w:color="auto"/>
      </w:divBdr>
    </w:div>
    <w:div w:id="1417286700">
      <w:bodyDiv w:val="1"/>
      <w:marLeft w:val="0"/>
      <w:marRight w:val="0"/>
      <w:marTop w:val="0"/>
      <w:marBottom w:val="0"/>
      <w:divBdr>
        <w:top w:val="none" w:sz="0" w:space="0" w:color="auto"/>
        <w:left w:val="none" w:sz="0" w:space="0" w:color="auto"/>
        <w:bottom w:val="none" w:sz="0" w:space="0" w:color="auto"/>
        <w:right w:val="none" w:sz="0" w:space="0" w:color="auto"/>
      </w:divBdr>
    </w:div>
    <w:div w:id="1420521049">
      <w:bodyDiv w:val="1"/>
      <w:marLeft w:val="0"/>
      <w:marRight w:val="0"/>
      <w:marTop w:val="0"/>
      <w:marBottom w:val="0"/>
      <w:divBdr>
        <w:top w:val="none" w:sz="0" w:space="0" w:color="auto"/>
        <w:left w:val="none" w:sz="0" w:space="0" w:color="auto"/>
        <w:bottom w:val="none" w:sz="0" w:space="0" w:color="auto"/>
        <w:right w:val="none" w:sz="0" w:space="0" w:color="auto"/>
      </w:divBdr>
    </w:div>
    <w:div w:id="1424718873">
      <w:bodyDiv w:val="1"/>
      <w:marLeft w:val="0"/>
      <w:marRight w:val="0"/>
      <w:marTop w:val="0"/>
      <w:marBottom w:val="0"/>
      <w:divBdr>
        <w:top w:val="none" w:sz="0" w:space="0" w:color="auto"/>
        <w:left w:val="none" w:sz="0" w:space="0" w:color="auto"/>
        <w:bottom w:val="none" w:sz="0" w:space="0" w:color="auto"/>
        <w:right w:val="none" w:sz="0" w:space="0" w:color="auto"/>
      </w:divBdr>
    </w:div>
    <w:div w:id="1427002177">
      <w:bodyDiv w:val="1"/>
      <w:marLeft w:val="0"/>
      <w:marRight w:val="0"/>
      <w:marTop w:val="0"/>
      <w:marBottom w:val="0"/>
      <w:divBdr>
        <w:top w:val="none" w:sz="0" w:space="0" w:color="auto"/>
        <w:left w:val="none" w:sz="0" w:space="0" w:color="auto"/>
        <w:bottom w:val="none" w:sz="0" w:space="0" w:color="auto"/>
        <w:right w:val="none" w:sz="0" w:space="0" w:color="auto"/>
      </w:divBdr>
    </w:div>
    <w:div w:id="1428573985">
      <w:bodyDiv w:val="1"/>
      <w:marLeft w:val="0"/>
      <w:marRight w:val="0"/>
      <w:marTop w:val="0"/>
      <w:marBottom w:val="0"/>
      <w:divBdr>
        <w:top w:val="none" w:sz="0" w:space="0" w:color="auto"/>
        <w:left w:val="none" w:sz="0" w:space="0" w:color="auto"/>
        <w:bottom w:val="none" w:sz="0" w:space="0" w:color="auto"/>
        <w:right w:val="none" w:sz="0" w:space="0" w:color="auto"/>
      </w:divBdr>
    </w:div>
    <w:div w:id="1434548927">
      <w:bodyDiv w:val="1"/>
      <w:marLeft w:val="0"/>
      <w:marRight w:val="0"/>
      <w:marTop w:val="0"/>
      <w:marBottom w:val="0"/>
      <w:divBdr>
        <w:top w:val="none" w:sz="0" w:space="0" w:color="auto"/>
        <w:left w:val="none" w:sz="0" w:space="0" w:color="auto"/>
        <w:bottom w:val="none" w:sz="0" w:space="0" w:color="auto"/>
        <w:right w:val="none" w:sz="0" w:space="0" w:color="auto"/>
      </w:divBdr>
    </w:div>
    <w:div w:id="1438284318">
      <w:bodyDiv w:val="1"/>
      <w:marLeft w:val="0"/>
      <w:marRight w:val="0"/>
      <w:marTop w:val="0"/>
      <w:marBottom w:val="0"/>
      <w:divBdr>
        <w:top w:val="none" w:sz="0" w:space="0" w:color="auto"/>
        <w:left w:val="none" w:sz="0" w:space="0" w:color="auto"/>
        <w:bottom w:val="none" w:sz="0" w:space="0" w:color="auto"/>
        <w:right w:val="none" w:sz="0" w:space="0" w:color="auto"/>
      </w:divBdr>
    </w:div>
    <w:div w:id="1438407314">
      <w:bodyDiv w:val="1"/>
      <w:marLeft w:val="0"/>
      <w:marRight w:val="0"/>
      <w:marTop w:val="0"/>
      <w:marBottom w:val="0"/>
      <w:divBdr>
        <w:top w:val="none" w:sz="0" w:space="0" w:color="auto"/>
        <w:left w:val="none" w:sz="0" w:space="0" w:color="auto"/>
        <w:bottom w:val="none" w:sz="0" w:space="0" w:color="auto"/>
        <w:right w:val="none" w:sz="0" w:space="0" w:color="auto"/>
      </w:divBdr>
    </w:div>
    <w:div w:id="1456948152">
      <w:bodyDiv w:val="1"/>
      <w:marLeft w:val="0"/>
      <w:marRight w:val="0"/>
      <w:marTop w:val="0"/>
      <w:marBottom w:val="0"/>
      <w:divBdr>
        <w:top w:val="none" w:sz="0" w:space="0" w:color="auto"/>
        <w:left w:val="none" w:sz="0" w:space="0" w:color="auto"/>
        <w:bottom w:val="none" w:sz="0" w:space="0" w:color="auto"/>
        <w:right w:val="none" w:sz="0" w:space="0" w:color="auto"/>
      </w:divBdr>
    </w:div>
    <w:div w:id="1457329158">
      <w:bodyDiv w:val="1"/>
      <w:marLeft w:val="0"/>
      <w:marRight w:val="0"/>
      <w:marTop w:val="0"/>
      <w:marBottom w:val="0"/>
      <w:divBdr>
        <w:top w:val="none" w:sz="0" w:space="0" w:color="auto"/>
        <w:left w:val="none" w:sz="0" w:space="0" w:color="auto"/>
        <w:bottom w:val="none" w:sz="0" w:space="0" w:color="auto"/>
        <w:right w:val="none" w:sz="0" w:space="0" w:color="auto"/>
      </w:divBdr>
    </w:div>
    <w:div w:id="1458640427">
      <w:bodyDiv w:val="1"/>
      <w:marLeft w:val="0"/>
      <w:marRight w:val="0"/>
      <w:marTop w:val="0"/>
      <w:marBottom w:val="0"/>
      <w:divBdr>
        <w:top w:val="none" w:sz="0" w:space="0" w:color="auto"/>
        <w:left w:val="none" w:sz="0" w:space="0" w:color="auto"/>
        <w:bottom w:val="none" w:sz="0" w:space="0" w:color="auto"/>
        <w:right w:val="none" w:sz="0" w:space="0" w:color="auto"/>
      </w:divBdr>
    </w:div>
    <w:div w:id="1466005096">
      <w:bodyDiv w:val="1"/>
      <w:marLeft w:val="0"/>
      <w:marRight w:val="0"/>
      <w:marTop w:val="0"/>
      <w:marBottom w:val="0"/>
      <w:divBdr>
        <w:top w:val="none" w:sz="0" w:space="0" w:color="auto"/>
        <w:left w:val="none" w:sz="0" w:space="0" w:color="auto"/>
        <w:bottom w:val="none" w:sz="0" w:space="0" w:color="auto"/>
        <w:right w:val="none" w:sz="0" w:space="0" w:color="auto"/>
      </w:divBdr>
    </w:div>
    <w:div w:id="1471090637">
      <w:bodyDiv w:val="1"/>
      <w:marLeft w:val="0"/>
      <w:marRight w:val="0"/>
      <w:marTop w:val="0"/>
      <w:marBottom w:val="0"/>
      <w:divBdr>
        <w:top w:val="none" w:sz="0" w:space="0" w:color="auto"/>
        <w:left w:val="none" w:sz="0" w:space="0" w:color="auto"/>
        <w:bottom w:val="none" w:sz="0" w:space="0" w:color="auto"/>
        <w:right w:val="none" w:sz="0" w:space="0" w:color="auto"/>
      </w:divBdr>
    </w:div>
    <w:div w:id="1475754455">
      <w:bodyDiv w:val="1"/>
      <w:marLeft w:val="0"/>
      <w:marRight w:val="0"/>
      <w:marTop w:val="0"/>
      <w:marBottom w:val="0"/>
      <w:divBdr>
        <w:top w:val="none" w:sz="0" w:space="0" w:color="auto"/>
        <w:left w:val="none" w:sz="0" w:space="0" w:color="auto"/>
        <w:bottom w:val="none" w:sz="0" w:space="0" w:color="auto"/>
        <w:right w:val="none" w:sz="0" w:space="0" w:color="auto"/>
      </w:divBdr>
    </w:div>
    <w:div w:id="1484276557">
      <w:bodyDiv w:val="1"/>
      <w:marLeft w:val="0"/>
      <w:marRight w:val="0"/>
      <w:marTop w:val="0"/>
      <w:marBottom w:val="0"/>
      <w:divBdr>
        <w:top w:val="none" w:sz="0" w:space="0" w:color="auto"/>
        <w:left w:val="none" w:sz="0" w:space="0" w:color="auto"/>
        <w:bottom w:val="none" w:sz="0" w:space="0" w:color="auto"/>
        <w:right w:val="none" w:sz="0" w:space="0" w:color="auto"/>
      </w:divBdr>
    </w:div>
    <w:div w:id="1485200675">
      <w:bodyDiv w:val="1"/>
      <w:marLeft w:val="0"/>
      <w:marRight w:val="0"/>
      <w:marTop w:val="0"/>
      <w:marBottom w:val="0"/>
      <w:divBdr>
        <w:top w:val="none" w:sz="0" w:space="0" w:color="auto"/>
        <w:left w:val="none" w:sz="0" w:space="0" w:color="auto"/>
        <w:bottom w:val="none" w:sz="0" w:space="0" w:color="auto"/>
        <w:right w:val="none" w:sz="0" w:space="0" w:color="auto"/>
      </w:divBdr>
    </w:div>
    <w:div w:id="1491483914">
      <w:bodyDiv w:val="1"/>
      <w:marLeft w:val="0"/>
      <w:marRight w:val="0"/>
      <w:marTop w:val="0"/>
      <w:marBottom w:val="0"/>
      <w:divBdr>
        <w:top w:val="none" w:sz="0" w:space="0" w:color="auto"/>
        <w:left w:val="none" w:sz="0" w:space="0" w:color="auto"/>
        <w:bottom w:val="none" w:sz="0" w:space="0" w:color="auto"/>
        <w:right w:val="none" w:sz="0" w:space="0" w:color="auto"/>
      </w:divBdr>
    </w:div>
    <w:div w:id="1492942654">
      <w:bodyDiv w:val="1"/>
      <w:marLeft w:val="0"/>
      <w:marRight w:val="0"/>
      <w:marTop w:val="0"/>
      <w:marBottom w:val="0"/>
      <w:divBdr>
        <w:top w:val="none" w:sz="0" w:space="0" w:color="auto"/>
        <w:left w:val="none" w:sz="0" w:space="0" w:color="auto"/>
        <w:bottom w:val="none" w:sz="0" w:space="0" w:color="auto"/>
        <w:right w:val="none" w:sz="0" w:space="0" w:color="auto"/>
      </w:divBdr>
    </w:div>
    <w:div w:id="1495805062">
      <w:bodyDiv w:val="1"/>
      <w:marLeft w:val="0"/>
      <w:marRight w:val="0"/>
      <w:marTop w:val="0"/>
      <w:marBottom w:val="0"/>
      <w:divBdr>
        <w:top w:val="none" w:sz="0" w:space="0" w:color="auto"/>
        <w:left w:val="none" w:sz="0" w:space="0" w:color="auto"/>
        <w:bottom w:val="none" w:sz="0" w:space="0" w:color="auto"/>
        <w:right w:val="none" w:sz="0" w:space="0" w:color="auto"/>
      </w:divBdr>
    </w:div>
    <w:div w:id="1503813078">
      <w:bodyDiv w:val="1"/>
      <w:marLeft w:val="0"/>
      <w:marRight w:val="0"/>
      <w:marTop w:val="0"/>
      <w:marBottom w:val="0"/>
      <w:divBdr>
        <w:top w:val="none" w:sz="0" w:space="0" w:color="auto"/>
        <w:left w:val="none" w:sz="0" w:space="0" w:color="auto"/>
        <w:bottom w:val="none" w:sz="0" w:space="0" w:color="auto"/>
        <w:right w:val="none" w:sz="0" w:space="0" w:color="auto"/>
      </w:divBdr>
    </w:div>
    <w:div w:id="1503931727">
      <w:bodyDiv w:val="1"/>
      <w:marLeft w:val="0"/>
      <w:marRight w:val="0"/>
      <w:marTop w:val="0"/>
      <w:marBottom w:val="0"/>
      <w:divBdr>
        <w:top w:val="none" w:sz="0" w:space="0" w:color="auto"/>
        <w:left w:val="none" w:sz="0" w:space="0" w:color="auto"/>
        <w:bottom w:val="none" w:sz="0" w:space="0" w:color="auto"/>
        <w:right w:val="none" w:sz="0" w:space="0" w:color="auto"/>
      </w:divBdr>
    </w:div>
    <w:div w:id="1504977992">
      <w:bodyDiv w:val="1"/>
      <w:marLeft w:val="0"/>
      <w:marRight w:val="0"/>
      <w:marTop w:val="0"/>
      <w:marBottom w:val="0"/>
      <w:divBdr>
        <w:top w:val="none" w:sz="0" w:space="0" w:color="auto"/>
        <w:left w:val="none" w:sz="0" w:space="0" w:color="auto"/>
        <w:bottom w:val="none" w:sz="0" w:space="0" w:color="auto"/>
        <w:right w:val="none" w:sz="0" w:space="0" w:color="auto"/>
      </w:divBdr>
    </w:div>
    <w:div w:id="1505318981">
      <w:bodyDiv w:val="1"/>
      <w:marLeft w:val="0"/>
      <w:marRight w:val="0"/>
      <w:marTop w:val="0"/>
      <w:marBottom w:val="0"/>
      <w:divBdr>
        <w:top w:val="none" w:sz="0" w:space="0" w:color="auto"/>
        <w:left w:val="none" w:sz="0" w:space="0" w:color="auto"/>
        <w:bottom w:val="none" w:sz="0" w:space="0" w:color="auto"/>
        <w:right w:val="none" w:sz="0" w:space="0" w:color="auto"/>
      </w:divBdr>
    </w:div>
    <w:div w:id="1506822244">
      <w:bodyDiv w:val="1"/>
      <w:marLeft w:val="0"/>
      <w:marRight w:val="0"/>
      <w:marTop w:val="0"/>
      <w:marBottom w:val="0"/>
      <w:divBdr>
        <w:top w:val="none" w:sz="0" w:space="0" w:color="auto"/>
        <w:left w:val="none" w:sz="0" w:space="0" w:color="auto"/>
        <w:bottom w:val="none" w:sz="0" w:space="0" w:color="auto"/>
        <w:right w:val="none" w:sz="0" w:space="0" w:color="auto"/>
      </w:divBdr>
    </w:div>
    <w:div w:id="1511985480">
      <w:bodyDiv w:val="1"/>
      <w:marLeft w:val="0"/>
      <w:marRight w:val="0"/>
      <w:marTop w:val="0"/>
      <w:marBottom w:val="0"/>
      <w:divBdr>
        <w:top w:val="none" w:sz="0" w:space="0" w:color="auto"/>
        <w:left w:val="none" w:sz="0" w:space="0" w:color="auto"/>
        <w:bottom w:val="none" w:sz="0" w:space="0" w:color="auto"/>
        <w:right w:val="none" w:sz="0" w:space="0" w:color="auto"/>
      </w:divBdr>
    </w:div>
    <w:div w:id="1513567890">
      <w:bodyDiv w:val="1"/>
      <w:marLeft w:val="0"/>
      <w:marRight w:val="0"/>
      <w:marTop w:val="0"/>
      <w:marBottom w:val="0"/>
      <w:divBdr>
        <w:top w:val="none" w:sz="0" w:space="0" w:color="auto"/>
        <w:left w:val="none" w:sz="0" w:space="0" w:color="auto"/>
        <w:bottom w:val="none" w:sz="0" w:space="0" w:color="auto"/>
        <w:right w:val="none" w:sz="0" w:space="0" w:color="auto"/>
      </w:divBdr>
    </w:div>
    <w:div w:id="1522624558">
      <w:bodyDiv w:val="1"/>
      <w:marLeft w:val="0"/>
      <w:marRight w:val="0"/>
      <w:marTop w:val="0"/>
      <w:marBottom w:val="0"/>
      <w:divBdr>
        <w:top w:val="none" w:sz="0" w:space="0" w:color="auto"/>
        <w:left w:val="none" w:sz="0" w:space="0" w:color="auto"/>
        <w:bottom w:val="none" w:sz="0" w:space="0" w:color="auto"/>
        <w:right w:val="none" w:sz="0" w:space="0" w:color="auto"/>
      </w:divBdr>
    </w:div>
    <w:div w:id="1529030162">
      <w:bodyDiv w:val="1"/>
      <w:marLeft w:val="0"/>
      <w:marRight w:val="0"/>
      <w:marTop w:val="0"/>
      <w:marBottom w:val="0"/>
      <w:divBdr>
        <w:top w:val="none" w:sz="0" w:space="0" w:color="auto"/>
        <w:left w:val="none" w:sz="0" w:space="0" w:color="auto"/>
        <w:bottom w:val="none" w:sz="0" w:space="0" w:color="auto"/>
        <w:right w:val="none" w:sz="0" w:space="0" w:color="auto"/>
      </w:divBdr>
    </w:div>
    <w:div w:id="1531524848">
      <w:bodyDiv w:val="1"/>
      <w:marLeft w:val="0"/>
      <w:marRight w:val="0"/>
      <w:marTop w:val="0"/>
      <w:marBottom w:val="0"/>
      <w:divBdr>
        <w:top w:val="none" w:sz="0" w:space="0" w:color="auto"/>
        <w:left w:val="none" w:sz="0" w:space="0" w:color="auto"/>
        <w:bottom w:val="none" w:sz="0" w:space="0" w:color="auto"/>
        <w:right w:val="none" w:sz="0" w:space="0" w:color="auto"/>
      </w:divBdr>
    </w:div>
    <w:div w:id="1535195078">
      <w:bodyDiv w:val="1"/>
      <w:marLeft w:val="0"/>
      <w:marRight w:val="0"/>
      <w:marTop w:val="0"/>
      <w:marBottom w:val="0"/>
      <w:divBdr>
        <w:top w:val="none" w:sz="0" w:space="0" w:color="auto"/>
        <w:left w:val="none" w:sz="0" w:space="0" w:color="auto"/>
        <w:bottom w:val="none" w:sz="0" w:space="0" w:color="auto"/>
        <w:right w:val="none" w:sz="0" w:space="0" w:color="auto"/>
      </w:divBdr>
    </w:div>
    <w:div w:id="1535652677">
      <w:bodyDiv w:val="1"/>
      <w:marLeft w:val="0"/>
      <w:marRight w:val="0"/>
      <w:marTop w:val="0"/>
      <w:marBottom w:val="0"/>
      <w:divBdr>
        <w:top w:val="none" w:sz="0" w:space="0" w:color="auto"/>
        <w:left w:val="none" w:sz="0" w:space="0" w:color="auto"/>
        <w:bottom w:val="none" w:sz="0" w:space="0" w:color="auto"/>
        <w:right w:val="none" w:sz="0" w:space="0" w:color="auto"/>
      </w:divBdr>
    </w:div>
    <w:div w:id="1540238476">
      <w:bodyDiv w:val="1"/>
      <w:marLeft w:val="0"/>
      <w:marRight w:val="0"/>
      <w:marTop w:val="0"/>
      <w:marBottom w:val="0"/>
      <w:divBdr>
        <w:top w:val="none" w:sz="0" w:space="0" w:color="auto"/>
        <w:left w:val="none" w:sz="0" w:space="0" w:color="auto"/>
        <w:bottom w:val="none" w:sz="0" w:space="0" w:color="auto"/>
        <w:right w:val="none" w:sz="0" w:space="0" w:color="auto"/>
      </w:divBdr>
    </w:div>
    <w:div w:id="1540630856">
      <w:bodyDiv w:val="1"/>
      <w:marLeft w:val="0"/>
      <w:marRight w:val="0"/>
      <w:marTop w:val="0"/>
      <w:marBottom w:val="0"/>
      <w:divBdr>
        <w:top w:val="none" w:sz="0" w:space="0" w:color="auto"/>
        <w:left w:val="none" w:sz="0" w:space="0" w:color="auto"/>
        <w:bottom w:val="none" w:sz="0" w:space="0" w:color="auto"/>
        <w:right w:val="none" w:sz="0" w:space="0" w:color="auto"/>
      </w:divBdr>
    </w:div>
    <w:div w:id="1546285497">
      <w:bodyDiv w:val="1"/>
      <w:marLeft w:val="0"/>
      <w:marRight w:val="0"/>
      <w:marTop w:val="0"/>
      <w:marBottom w:val="0"/>
      <w:divBdr>
        <w:top w:val="none" w:sz="0" w:space="0" w:color="auto"/>
        <w:left w:val="none" w:sz="0" w:space="0" w:color="auto"/>
        <w:bottom w:val="none" w:sz="0" w:space="0" w:color="auto"/>
        <w:right w:val="none" w:sz="0" w:space="0" w:color="auto"/>
      </w:divBdr>
    </w:div>
    <w:div w:id="1547527452">
      <w:bodyDiv w:val="1"/>
      <w:marLeft w:val="0"/>
      <w:marRight w:val="0"/>
      <w:marTop w:val="0"/>
      <w:marBottom w:val="0"/>
      <w:divBdr>
        <w:top w:val="none" w:sz="0" w:space="0" w:color="auto"/>
        <w:left w:val="none" w:sz="0" w:space="0" w:color="auto"/>
        <w:bottom w:val="none" w:sz="0" w:space="0" w:color="auto"/>
        <w:right w:val="none" w:sz="0" w:space="0" w:color="auto"/>
      </w:divBdr>
    </w:div>
    <w:div w:id="1548179497">
      <w:bodyDiv w:val="1"/>
      <w:marLeft w:val="0"/>
      <w:marRight w:val="0"/>
      <w:marTop w:val="0"/>
      <w:marBottom w:val="0"/>
      <w:divBdr>
        <w:top w:val="none" w:sz="0" w:space="0" w:color="auto"/>
        <w:left w:val="none" w:sz="0" w:space="0" w:color="auto"/>
        <w:bottom w:val="none" w:sz="0" w:space="0" w:color="auto"/>
        <w:right w:val="none" w:sz="0" w:space="0" w:color="auto"/>
      </w:divBdr>
    </w:div>
    <w:div w:id="1549295786">
      <w:bodyDiv w:val="1"/>
      <w:marLeft w:val="0"/>
      <w:marRight w:val="0"/>
      <w:marTop w:val="0"/>
      <w:marBottom w:val="0"/>
      <w:divBdr>
        <w:top w:val="none" w:sz="0" w:space="0" w:color="auto"/>
        <w:left w:val="none" w:sz="0" w:space="0" w:color="auto"/>
        <w:bottom w:val="none" w:sz="0" w:space="0" w:color="auto"/>
        <w:right w:val="none" w:sz="0" w:space="0" w:color="auto"/>
      </w:divBdr>
    </w:div>
    <w:div w:id="1552225318">
      <w:bodyDiv w:val="1"/>
      <w:marLeft w:val="0"/>
      <w:marRight w:val="0"/>
      <w:marTop w:val="0"/>
      <w:marBottom w:val="0"/>
      <w:divBdr>
        <w:top w:val="none" w:sz="0" w:space="0" w:color="auto"/>
        <w:left w:val="none" w:sz="0" w:space="0" w:color="auto"/>
        <w:bottom w:val="none" w:sz="0" w:space="0" w:color="auto"/>
        <w:right w:val="none" w:sz="0" w:space="0" w:color="auto"/>
      </w:divBdr>
    </w:div>
    <w:div w:id="1553225780">
      <w:bodyDiv w:val="1"/>
      <w:marLeft w:val="0"/>
      <w:marRight w:val="0"/>
      <w:marTop w:val="0"/>
      <w:marBottom w:val="0"/>
      <w:divBdr>
        <w:top w:val="none" w:sz="0" w:space="0" w:color="auto"/>
        <w:left w:val="none" w:sz="0" w:space="0" w:color="auto"/>
        <w:bottom w:val="none" w:sz="0" w:space="0" w:color="auto"/>
        <w:right w:val="none" w:sz="0" w:space="0" w:color="auto"/>
      </w:divBdr>
    </w:div>
    <w:div w:id="1565068941">
      <w:bodyDiv w:val="1"/>
      <w:marLeft w:val="0"/>
      <w:marRight w:val="0"/>
      <w:marTop w:val="0"/>
      <w:marBottom w:val="0"/>
      <w:divBdr>
        <w:top w:val="none" w:sz="0" w:space="0" w:color="auto"/>
        <w:left w:val="none" w:sz="0" w:space="0" w:color="auto"/>
        <w:bottom w:val="none" w:sz="0" w:space="0" w:color="auto"/>
        <w:right w:val="none" w:sz="0" w:space="0" w:color="auto"/>
      </w:divBdr>
    </w:div>
    <w:div w:id="1571888412">
      <w:bodyDiv w:val="1"/>
      <w:marLeft w:val="0"/>
      <w:marRight w:val="0"/>
      <w:marTop w:val="0"/>
      <w:marBottom w:val="0"/>
      <w:divBdr>
        <w:top w:val="none" w:sz="0" w:space="0" w:color="auto"/>
        <w:left w:val="none" w:sz="0" w:space="0" w:color="auto"/>
        <w:bottom w:val="none" w:sz="0" w:space="0" w:color="auto"/>
        <w:right w:val="none" w:sz="0" w:space="0" w:color="auto"/>
      </w:divBdr>
    </w:div>
    <w:div w:id="1572421460">
      <w:bodyDiv w:val="1"/>
      <w:marLeft w:val="0"/>
      <w:marRight w:val="0"/>
      <w:marTop w:val="0"/>
      <w:marBottom w:val="0"/>
      <w:divBdr>
        <w:top w:val="none" w:sz="0" w:space="0" w:color="auto"/>
        <w:left w:val="none" w:sz="0" w:space="0" w:color="auto"/>
        <w:bottom w:val="none" w:sz="0" w:space="0" w:color="auto"/>
        <w:right w:val="none" w:sz="0" w:space="0" w:color="auto"/>
      </w:divBdr>
    </w:div>
    <w:div w:id="1576863613">
      <w:bodyDiv w:val="1"/>
      <w:marLeft w:val="0"/>
      <w:marRight w:val="0"/>
      <w:marTop w:val="0"/>
      <w:marBottom w:val="0"/>
      <w:divBdr>
        <w:top w:val="none" w:sz="0" w:space="0" w:color="auto"/>
        <w:left w:val="none" w:sz="0" w:space="0" w:color="auto"/>
        <w:bottom w:val="none" w:sz="0" w:space="0" w:color="auto"/>
        <w:right w:val="none" w:sz="0" w:space="0" w:color="auto"/>
      </w:divBdr>
    </w:div>
    <w:div w:id="1578978900">
      <w:bodyDiv w:val="1"/>
      <w:marLeft w:val="0"/>
      <w:marRight w:val="0"/>
      <w:marTop w:val="0"/>
      <w:marBottom w:val="0"/>
      <w:divBdr>
        <w:top w:val="none" w:sz="0" w:space="0" w:color="auto"/>
        <w:left w:val="none" w:sz="0" w:space="0" w:color="auto"/>
        <w:bottom w:val="none" w:sz="0" w:space="0" w:color="auto"/>
        <w:right w:val="none" w:sz="0" w:space="0" w:color="auto"/>
      </w:divBdr>
    </w:div>
    <w:div w:id="1593659243">
      <w:bodyDiv w:val="1"/>
      <w:marLeft w:val="0"/>
      <w:marRight w:val="0"/>
      <w:marTop w:val="0"/>
      <w:marBottom w:val="0"/>
      <w:divBdr>
        <w:top w:val="none" w:sz="0" w:space="0" w:color="auto"/>
        <w:left w:val="none" w:sz="0" w:space="0" w:color="auto"/>
        <w:bottom w:val="none" w:sz="0" w:space="0" w:color="auto"/>
        <w:right w:val="none" w:sz="0" w:space="0" w:color="auto"/>
      </w:divBdr>
    </w:div>
    <w:div w:id="1594780240">
      <w:bodyDiv w:val="1"/>
      <w:marLeft w:val="0"/>
      <w:marRight w:val="0"/>
      <w:marTop w:val="0"/>
      <w:marBottom w:val="0"/>
      <w:divBdr>
        <w:top w:val="none" w:sz="0" w:space="0" w:color="auto"/>
        <w:left w:val="none" w:sz="0" w:space="0" w:color="auto"/>
        <w:bottom w:val="none" w:sz="0" w:space="0" w:color="auto"/>
        <w:right w:val="none" w:sz="0" w:space="0" w:color="auto"/>
      </w:divBdr>
    </w:div>
    <w:div w:id="1598825013">
      <w:bodyDiv w:val="1"/>
      <w:marLeft w:val="0"/>
      <w:marRight w:val="0"/>
      <w:marTop w:val="0"/>
      <w:marBottom w:val="0"/>
      <w:divBdr>
        <w:top w:val="none" w:sz="0" w:space="0" w:color="auto"/>
        <w:left w:val="none" w:sz="0" w:space="0" w:color="auto"/>
        <w:bottom w:val="none" w:sz="0" w:space="0" w:color="auto"/>
        <w:right w:val="none" w:sz="0" w:space="0" w:color="auto"/>
      </w:divBdr>
    </w:div>
    <w:div w:id="1599631639">
      <w:bodyDiv w:val="1"/>
      <w:marLeft w:val="0"/>
      <w:marRight w:val="0"/>
      <w:marTop w:val="0"/>
      <w:marBottom w:val="0"/>
      <w:divBdr>
        <w:top w:val="none" w:sz="0" w:space="0" w:color="auto"/>
        <w:left w:val="none" w:sz="0" w:space="0" w:color="auto"/>
        <w:bottom w:val="none" w:sz="0" w:space="0" w:color="auto"/>
        <w:right w:val="none" w:sz="0" w:space="0" w:color="auto"/>
      </w:divBdr>
    </w:div>
    <w:div w:id="1599945941">
      <w:bodyDiv w:val="1"/>
      <w:marLeft w:val="0"/>
      <w:marRight w:val="0"/>
      <w:marTop w:val="0"/>
      <w:marBottom w:val="0"/>
      <w:divBdr>
        <w:top w:val="none" w:sz="0" w:space="0" w:color="auto"/>
        <w:left w:val="none" w:sz="0" w:space="0" w:color="auto"/>
        <w:bottom w:val="none" w:sz="0" w:space="0" w:color="auto"/>
        <w:right w:val="none" w:sz="0" w:space="0" w:color="auto"/>
      </w:divBdr>
    </w:div>
    <w:div w:id="1600527638">
      <w:bodyDiv w:val="1"/>
      <w:marLeft w:val="0"/>
      <w:marRight w:val="0"/>
      <w:marTop w:val="0"/>
      <w:marBottom w:val="0"/>
      <w:divBdr>
        <w:top w:val="none" w:sz="0" w:space="0" w:color="auto"/>
        <w:left w:val="none" w:sz="0" w:space="0" w:color="auto"/>
        <w:bottom w:val="none" w:sz="0" w:space="0" w:color="auto"/>
        <w:right w:val="none" w:sz="0" w:space="0" w:color="auto"/>
      </w:divBdr>
    </w:div>
    <w:div w:id="1601983823">
      <w:bodyDiv w:val="1"/>
      <w:marLeft w:val="0"/>
      <w:marRight w:val="0"/>
      <w:marTop w:val="0"/>
      <w:marBottom w:val="0"/>
      <w:divBdr>
        <w:top w:val="none" w:sz="0" w:space="0" w:color="auto"/>
        <w:left w:val="none" w:sz="0" w:space="0" w:color="auto"/>
        <w:bottom w:val="none" w:sz="0" w:space="0" w:color="auto"/>
        <w:right w:val="none" w:sz="0" w:space="0" w:color="auto"/>
      </w:divBdr>
    </w:div>
    <w:div w:id="1604532262">
      <w:bodyDiv w:val="1"/>
      <w:marLeft w:val="0"/>
      <w:marRight w:val="0"/>
      <w:marTop w:val="0"/>
      <w:marBottom w:val="0"/>
      <w:divBdr>
        <w:top w:val="none" w:sz="0" w:space="0" w:color="auto"/>
        <w:left w:val="none" w:sz="0" w:space="0" w:color="auto"/>
        <w:bottom w:val="none" w:sz="0" w:space="0" w:color="auto"/>
        <w:right w:val="none" w:sz="0" w:space="0" w:color="auto"/>
      </w:divBdr>
    </w:div>
    <w:div w:id="1604532571">
      <w:bodyDiv w:val="1"/>
      <w:marLeft w:val="0"/>
      <w:marRight w:val="0"/>
      <w:marTop w:val="0"/>
      <w:marBottom w:val="0"/>
      <w:divBdr>
        <w:top w:val="none" w:sz="0" w:space="0" w:color="auto"/>
        <w:left w:val="none" w:sz="0" w:space="0" w:color="auto"/>
        <w:bottom w:val="none" w:sz="0" w:space="0" w:color="auto"/>
        <w:right w:val="none" w:sz="0" w:space="0" w:color="auto"/>
      </w:divBdr>
    </w:div>
    <w:div w:id="1618171590">
      <w:bodyDiv w:val="1"/>
      <w:marLeft w:val="0"/>
      <w:marRight w:val="0"/>
      <w:marTop w:val="0"/>
      <w:marBottom w:val="0"/>
      <w:divBdr>
        <w:top w:val="none" w:sz="0" w:space="0" w:color="auto"/>
        <w:left w:val="none" w:sz="0" w:space="0" w:color="auto"/>
        <w:bottom w:val="none" w:sz="0" w:space="0" w:color="auto"/>
        <w:right w:val="none" w:sz="0" w:space="0" w:color="auto"/>
      </w:divBdr>
    </w:div>
    <w:div w:id="1620063081">
      <w:bodyDiv w:val="1"/>
      <w:marLeft w:val="0"/>
      <w:marRight w:val="0"/>
      <w:marTop w:val="0"/>
      <w:marBottom w:val="0"/>
      <w:divBdr>
        <w:top w:val="none" w:sz="0" w:space="0" w:color="auto"/>
        <w:left w:val="none" w:sz="0" w:space="0" w:color="auto"/>
        <w:bottom w:val="none" w:sz="0" w:space="0" w:color="auto"/>
        <w:right w:val="none" w:sz="0" w:space="0" w:color="auto"/>
      </w:divBdr>
    </w:div>
    <w:div w:id="1623030003">
      <w:bodyDiv w:val="1"/>
      <w:marLeft w:val="0"/>
      <w:marRight w:val="0"/>
      <w:marTop w:val="0"/>
      <w:marBottom w:val="0"/>
      <w:divBdr>
        <w:top w:val="none" w:sz="0" w:space="0" w:color="auto"/>
        <w:left w:val="none" w:sz="0" w:space="0" w:color="auto"/>
        <w:bottom w:val="none" w:sz="0" w:space="0" w:color="auto"/>
        <w:right w:val="none" w:sz="0" w:space="0" w:color="auto"/>
      </w:divBdr>
    </w:div>
    <w:div w:id="1623917880">
      <w:bodyDiv w:val="1"/>
      <w:marLeft w:val="0"/>
      <w:marRight w:val="0"/>
      <w:marTop w:val="0"/>
      <w:marBottom w:val="0"/>
      <w:divBdr>
        <w:top w:val="none" w:sz="0" w:space="0" w:color="auto"/>
        <w:left w:val="none" w:sz="0" w:space="0" w:color="auto"/>
        <w:bottom w:val="none" w:sz="0" w:space="0" w:color="auto"/>
        <w:right w:val="none" w:sz="0" w:space="0" w:color="auto"/>
      </w:divBdr>
    </w:div>
    <w:div w:id="1624726127">
      <w:bodyDiv w:val="1"/>
      <w:marLeft w:val="0"/>
      <w:marRight w:val="0"/>
      <w:marTop w:val="0"/>
      <w:marBottom w:val="0"/>
      <w:divBdr>
        <w:top w:val="none" w:sz="0" w:space="0" w:color="auto"/>
        <w:left w:val="none" w:sz="0" w:space="0" w:color="auto"/>
        <w:bottom w:val="none" w:sz="0" w:space="0" w:color="auto"/>
        <w:right w:val="none" w:sz="0" w:space="0" w:color="auto"/>
      </w:divBdr>
    </w:div>
    <w:div w:id="1625386389">
      <w:bodyDiv w:val="1"/>
      <w:marLeft w:val="0"/>
      <w:marRight w:val="0"/>
      <w:marTop w:val="0"/>
      <w:marBottom w:val="0"/>
      <w:divBdr>
        <w:top w:val="none" w:sz="0" w:space="0" w:color="auto"/>
        <w:left w:val="none" w:sz="0" w:space="0" w:color="auto"/>
        <w:bottom w:val="none" w:sz="0" w:space="0" w:color="auto"/>
        <w:right w:val="none" w:sz="0" w:space="0" w:color="auto"/>
      </w:divBdr>
    </w:div>
    <w:div w:id="1632325021">
      <w:bodyDiv w:val="1"/>
      <w:marLeft w:val="0"/>
      <w:marRight w:val="0"/>
      <w:marTop w:val="0"/>
      <w:marBottom w:val="0"/>
      <w:divBdr>
        <w:top w:val="none" w:sz="0" w:space="0" w:color="auto"/>
        <w:left w:val="none" w:sz="0" w:space="0" w:color="auto"/>
        <w:bottom w:val="none" w:sz="0" w:space="0" w:color="auto"/>
        <w:right w:val="none" w:sz="0" w:space="0" w:color="auto"/>
      </w:divBdr>
    </w:div>
    <w:div w:id="1633096164">
      <w:bodyDiv w:val="1"/>
      <w:marLeft w:val="0"/>
      <w:marRight w:val="0"/>
      <w:marTop w:val="0"/>
      <w:marBottom w:val="0"/>
      <w:divBdr>
        <w:top w:val="none" w:sz="0" w:space="0" w:color="auto"/>
        <w:left w:val="none" w:sz="0" w:space="0" w:color="auto"/>
        <w:bottom w:val="none" w:sz="0" w:space="0" w:color="auto"/>
        <w:right w:val="none" w:sz="0" w:space="0" w:color="auto"/>
      </w:divBdr>
    </w:div>
    <w:div w:id="1633249028">
      <w:bodyDiv w:val="1"/>
      <w:marLeft w:val="0"/>
      <w:marRight w:val="0"/>
      <w:marTop w:val="0"/>
      <w:marBottom w:val="0"/>
      <w:divBdr>
        <w:top w:val="none" w:sz="0" w:space="0" w:color="auto"/>
        <w:left w:val="none" w:sz="0" w:space="0" w:color="auto"/>
        <w:bottom w:val="none" w:sz="0" w:space="0" w:color="auto"/>
        <w:right w:val="none" w:sz="0" w:space="0" w:color="auto"/>
      </w:divBdr>
    </w:div>
    <w:div w:id="1633362407">
      <w:bodyDiv w:val="1"/>
      <w:marLeft w:val="0"/>
      <w:marRight w:val="0"/>
      <w:marTop w:val="0"/>
      <w:marBottom w:val="0"/>
      <w:divBdr>
        <w:top w:val="none" w:sz="0" w:space="0" w:color="auto"/>
        <w:left w:val="none" w:sz="0" w:space="0" w:color="auto"/>
        <w:bottom w:val="none" w:sz="0" w:space="0" w:color="auto"/>
        <w:right w:val="none" w:sz="0" w:space="0" w:color="auto"/>
      </w:divBdr>
    </w:div>
    <w:div w:id="1644120497">
      <w:bodyDiv w:val="1"/>
      <w:marLeft w:val="0"/>
      <w:marRight w:val="0"/>
      <w:marTop w:val="0"/>
      <w:marBottom w:val="0"/>
      <w:divBdr>
        <w:top w:val="none" w:sz="0" w:space="0" w:color="auto"/>
        <w:left w:val="none" w:sz="0" w:space="0" w:color="auto"/>
        <w:bottom w:val="none" w:sz="0" w:space="0" w:color="auto"/>
        <w:right w:val="none" w:sz="0" w:space="0" w:color="auto"/>
      </w:divBdr>
    </w:div>
    <w:div w:id="1649088477">
      <w:bodyDiv w:val="1"/>
      <w:marLeft w:val="0"/>
      <w:marRight w:val="0"/>
      <w:marTop w:val="0"/>
      <w:marBottom w:val="0"/>
      <w:divBdr>
        <w:top w:val="none" w:sz="0" w:space="0" w:color="auto"/>
        <w:left w:val="none" w:sz="0" w:space="0" w:color="auto"/>
        <w:bottom w:val="none" w:sz="0" w:space="0" w:color="auto"/>
        <w:right w:val="none" w:sz="0" w:space="0" w:color="auto"/>
      </w:divBdr>
    </w:div>
    <w:div w:id="1652171528">
      <w:bodyDiv w:val="1"/>
      <w:marLeft w:val="0"/>
      <w:marRight w:val="0"/>
      <w:marTop w:val="0"/>
      <w:marBottom w:val="0"/>
      <w:divBdr>
        <w:top w:val="none" w:sz="0" w:space="0" w:color="auto"/>
        <w:left w:val="none" w:sz="0" w:space="0" w:color="auto"/>
        <w:bottom w:val="none" w:sz="0" w:space="0" w:color="auto"/>
        <w:right w:val="none" w:sz="0" w:space="0" w:color="auto"/>
      </w:divBdr>
    </w:div>
    <w:div w:id="1656182764">
      <w:bodyDiv w:val="1"/>
      <w:marLeft w:val="0"/>
      <w:marRight w:val="0"/>
      <w:marTop w:val="0"/>
      <w:marBottom w:val="0"/>
      <w:divBdr>
        <w:top w:val="none" w:sz="0" w:space="0" w:color="auto"/>
        <w:left w:val="none" w:sz="0" w:space="0" w:color="auto"/>
        <w:bottom w:val="none" w:sz="0" w:space="0" w:color="auto"/>
        <w:right w:val="none" w:sz="0" w:space="0" w:color="auto"/>
      </w:divBdr>
    </w:div>
    <w:div w:id="1664042534">
      <w:bodyDiv w:val="1"/>
      <w:marLeft w:val="0"/>
      <w:marRight w:val="0"/>
      <w:marTop w:val="0"/>
      <w:marBottom w:val="0"/>
      <w:divBdr>
        <w:top w:val="none" w:sz="0" w:space="0" w:color="auto"/>
        <w:left w:val="none" w:sz="0" w:space="0" w:color="auto"/>
        <w:bottom w:val="none" w:sz="0" w:space="0" w:color="auto"/>
        <w:right w:val="none" w:sz="0" w:space="0" w:color="auto"/>
      </w:divBdr>
    </w:div>
    <w:div w:id="1670399310">
      <w:bodyDiv w:val="1"/>
      <w:marLeft w:val="0"/>
      <w:marRight w:val="0"/>
      <w:marTop w:val="0"/>
      <w:marBottom w:val="0"/>
      <w:divBdr>
        <w:top w:val="none" w:sz="0" w:space="0" w:color="auto"/>
        <w:left w:val="none" w:sz="0" w:space="0" w:color="auto"/>
        <w:bottom w:val="none" w:sz="0" w:space="0" w:color="auto"/>
        <w:right w:val="none" w:sz="0" w:space="0" w:color="auto"/>
      </w:divBdr>
    </w:div>
    <w:div w:id="1677996839">
      <w:bodyDiv w:val="1"/>
      <w:marLeft w:val="0"/>
      <w:marRight w:val="0"/>
      <w:marTop w:val="0"/>
      <w:marBottom w:val="0"/>
      <w:divBdr>
        <w:top w:val="none" w:sz="0" w:space="0" w:color="auto"/>
        <w:left w:val="none" w:sz="0" w:space="0" w:color="auto"/>
        <w:bottom w:val="none" w:sz="0" w:space="0" w:color="auto"/>
        <w:right w:val="none" w:sz="0" w:space="0" w:color="auto"/>
      </w:divBdr>
    </w:div>
    <w:div w:id="1683705890">
      <w:bodyDiv w:val="1"/>
      <w:marLeft w:val="0"/>
      <w:marRight w:val="0"/>
      <w:marTop w:val="0"/>
      <w:marBottom w:val="0"/>
      <w:divBdr>
        <w:top w:val="none" w:sz="0" w:space="0" w:color="auto"/>
        <w:left w:val="none" w:sz="0" w:space="0" w:color="auto"/>
        <w:bottom w:val="none" w:sz="0" w:space="0" w:color="auto"/>
        <w:right w:val="none" w:sz="0" w:space="0" w:color="auto"/>
      </w:divBdr>
    </w:div>
    <w:div w:id="1685940802">
      <w:bodyDiv w:val="1"/>
      <w:marLeft w:val="0"/>
      <w:marRight w:val="0"/>
      <w:marTop w:val="0"/>
      <w:marBottom w:val="0"/>
      <w:divBdr>
        <w:top w:val="none" w:sz="0" w:space="0" w:color="auto"/>
        <w:left w:val="none" w:sz="0" w:space="0" w:color="auto"/>
        <w:bottom w:val="none" w:sz="0" w:space="0" w:color="auto"/>
        <w:right w:val="none" w:sz="0" w:space="0" w:color="auto"/>
      </w:divBdr>
    </w:div>
    <w:div w:id="1695229401">
      <w:bodyDiv w:val="1"/>
      <w:marLeft w:val="0"/>
      <w:marRight w:val="0"/>
      <w:marTop w:val="0"/>
      <w:marBottom w:val="0"/>
      <w:divBdr>
        <w:top w:val="none" w:sz="0" w:space="0" w:color="auto"/>
        <w:left w:val="none" w:sz="0" w:space="0" w:color="auto"/>
        <w:bottom w:val="none" w:sz="0" w:space="0" w:color="auto"/>
        <w:right w:val="none" w:sz="0" w:space="0" w:color="auto"/>
      </w:divBdr>
    </w:div>
    <w:div w:id="1704091794">
      <w:bodyDiv w:val="1"/>
      <w:marLeft w:val="0"/>
      <w:marRight w:val="0"/>
      <w:marTop w:val="0"/>
      <w:marBottom w:val="0"/>
      <w:divBdr>
        <w:top w:val="none" w:sz="0" w:space="0" w:color="auto"/>
        <w:left w:val="none" w:sz="0" w:space="0" w:color="auto"/>
        <w:bottom w:val="none" w:sz="0" w:space="0" w:color="auto"/>
        <w:right w:val="none" w:sz="0" w:space="0" w:color="auto"/>
      </w:divBdr>
    </w:div>
    <w:div w:id="1711684650">
      <w:bodyDiv w:val="1"/>
      <w:marLeft w:val="0"/>
      <w:marRight w:val="0"/>
      <w:marTop w:val="0"/>
      <w:marBottom w:val="0"/>
      <w:divBdr>
        <w:top w:val="none" w:sz="0" w:space="0" w:color="auto"/>
        <w:left w:val="none" w:sz="0" w:space="0" w:color="auto"/>
        <w:bottom w:val="none" w:sz="0" w:space="0" w:color="auto"/>
        <w:right w:val="none" w:sz="0" w:space="0" w:color="auto"/>
      </w:divBdr>
    </w:div>
    <w:div w:id="1715883997">
      <w:bodyDiv w:val="1"/>
      <w:marLeft w:val="0"/>
      <w:marRight w:val="0"/>
      <w:marTop w:val="0"/>
      <w:marBottom w:val="0"/>
      <w:divBdr>
        <w:top w:val="none" w:sz="0" w:space="0" w:color="auto"/>
        <w:left w:val="none" w:sz="0" w:space="0" w:color="auto"/>
        <w:bottom w:val="none" w:sz="0" w:space="0" w:color="auto"/>
        <w:right w:val="none" w:sz="0" w:space="0" w:color="auto"/>
      </w:divBdr>
    </w:div>
    <w:div w:id="1718822787">
      <w:bodyDiv w:val="1"/>
      <w:marLeft w:val="0"/>
      <w:marRight w:val="0"/>
      <w:marTop w:val="0"/>
      <w:marBottom w:val="0"/>
      <w:divBdr>
        <w:top w:val="none" w:sz="0" w:space="0" w:color="auto"/>
        <w:left w:val="none" w:sz="0" w:space="0" w:color="auto"/>
        <w:bottom w:val="none" w:sz="0" w:space="0" w:color="auto"/>
        <w:right w:val="none" w:sz="0" w:space="0" w:color="auto"/>
      </w:divBdr>
    </w:div>
    <w:div w:id="1725567922">
      <w:bodyDiv w:val="1"/>
      <w:marLeft w:val="0"/>
      <w:marRight w:val="0"/>
      <w:marTop w:val="0"/>
      <w:marBottom w:val="0"/>
      <w:divBdr>
        <w:top w:val="none" w:sz="0" w:space="0" w:color="auto"/>
        <w:left w:val="none" w:sz="0" w:space="0" w:color="auto"/>
        <w:bottom w:val="none" w:sz="0" w:space="0" w:color="auto"/>
        <w:right w:val="none" w:sz="0" w:space="0" w:color="auto"/>
      </w:divBdr>
    </w:div>
    <w:div w:id="1730767383">
      <w:bodyDiv w:val="1"/>
      <w:marLeft w:val="0"/>
      <w:marRight w:val="0"/>
      <w:marTop w:val="0"/>
      <w:marBottom w:val="0"/>
      <w:divBdr>
        <w:top w:val="none" w:sz="0" w:space="0" w:color="auto"/>
        <w:left w:val="none" w:sz="0" w:space="0" w:color="auto"/>
        <w:bottom w:val="none" w:sz="0" w:space="0" w:color="auto"/>
        <w:right w:val="none" w:sz="0" w:space="0" w:color="auto"/>
      </w:divBdr>
    </w:div>
    <w:div w:id="1731686351">
      <w:bodyDiv w:val="1"/>
      <w:marLeft w:val="0"/>
      <w:marRight w:val="0"/>
      <w:marTop w:val="0"/>
      <w:marBottom w:val="0"/>
      <w:divBdr>
        <w:top w:val="none" w:sz="0" w:space="0" w:color="auto"/>
        <w:left w:val="none" w:sz="0" w:space="0" w:color="auto"/>
        <w:bottom w:val="none" w:sz="0" w:space="0" w:color="auto"/>
        <w:right w:val="none" w:sz="0" w:space="0" w:color="auto"/>
      </w:divBdr>
    </w:div>
    <w:div w:id="1735156909">
      <w:bodyDiv w:val="1"/>
      <w:marLeft w:val="0"/>
      <w:marRight w:val="0"/>
      <w:marTop w:val="0"/>
      <w:marBottom w:val="0"/>
      <w:divBdr>
        <w:top w:val="none" w:sz="0" w:space="0" w:color="auto"/>
        <w:left w:val="none" w:sz="0" w:space="0" w:color="auto"/>
        <w:bottom w:val="none" w:sz="0" w:space="0" w:color="auto"/>
        <w:right w:val="none" w:sz="0" w:space="0" w:color="auto"/>
      </w:divBdr>
    </w:div>
    <w:div w:id="1737584238">
      <w:bodyDiv w:val="1"/>
      <w:marLeft w:val="0"/>
      <w:marRight w:val="0"/>
      <w:marTop w:val="0"/>
      <w:marBottom w:val="0"/>
      <w:divBdr>
        <w:top w:val="none" w:sz="0" w:space="0" w:color="auto"/>
        <w:left w:val="none" w:sz="0" w:space="0" w:color="auto"/>
        <w:bottom w:val="none" w:sz="0" w:space="0" w:color="auto"/>
        <w:right w:val="none" w:sz="0" w:space="0" w:color="auto"/>
      </w:divBdr>
    </w:div>
    <w:div w:id="1740713680">
      <w:bodyDiv w:val="1"/>
      <w:marLeft w:val="0"/>
      <w:marRight w:val="0"/>
      <w:marTop w:val="0"/>
      <w:marBottom w:val="0"/>
      <w:divBdr>
        <w:top w:val="none" w:sz="0" w:space="0" w:color="auto"/>
        <w:left w:val="none" w:sz="0" w:space="0" w:color="auto"/>
        <w:bottom w:val="none" w:sz="0" w:space="0" w:color="auto"/>
        <w:right w:val="none" w:sz="0" w:space="0" w:color="auto"/>
      </w:divBdr>
    </w:div>
    <w:div w:id="1743681023">
      <w:bodyDiv w:val="1"/>
      <w:marLeft w:val="0"/>
      <w:marRight w:val="0"/>
      <w:marTop w:val="0"/>
      <w:marBottom w:val="0"/>
      <w:divBdr>
        <w:top w:val="none" w:sz="0" w:space="0" w:color="auto"/>
        <w:left w:val="none" w:sz="0" w:space="0" w:color="auto"/>
        <w:bottom w:val="none" w:sz="0" w:space="0" w:color="auto"/>
        <w:right w:val="none" w:sz="0" w:space="0" w:color="auto"/>
      </w:divBdr>
    </w:div>
    <w:div w:id="1745563801">
      <w:bodyDiv w:val="1"/>
      <w:marLeft w:val="0"/>
      <w:marRight w:val="0"/>
      <w:marTop w:val="0"/>
      <w:marBottom w:val="0"/>
      <w:divBdr>
        <w:top w:val="none" w:sz="0" w:space="0" w:color="auto"/>
        <w:left w:val="none" w:sz="0" w:space="0" w:color="auto"/>
        <w:bottom w:val="none" w:sz="0" w:space="0" w:color="auto"/>
        <w:right w:val="none" w:sz="0" w:space="0" w:color="auto"/>
      </w:divBdr>
    </w:div>
    <w:div w:id="1752043717">
      <w:bodyDiv w:val="1"/>
      <w:marLeft w:val="0"/>
      <w:marRight w:val="0"/>
      <w:marTop w:val="0"/>
      <w:marBottom w:val="0"/>
      <w:divBdr>
        <w:top w:val="none" w:sz="0" w:space="0" w:color="auto"/>
        <w:left w:val="none" w:sz="0" w:space="0" w:color="auto"/>
        <w:bottom w:val="none" w:sz="0" w:space="0" w:color="auto"/>
        <w:right w:val="none" w:sz="0" w:space="0" w:color="auto"/>
      </w:divBdr>
    </w:div>
    <w:div w:id="1752119061">
      <w:bodyDiv w:val="1"/>
      <w:marLeft w:val="0"/>
      <w:marRight w:val="0"/>
      <w:marTop w:val="0"/>
      <w:marBottom w:val="0"/>
      <w:divBdr>
        <w:top w:val="none" w:sz="0" w:space="0" w:color="auto"/>
        <w:left w:val="none" w:sz="0" w:space="0" w:color="auto"/>
        <w:bottom w:val="none" w:sz="0" w:space="0" w:color="auto"/>
        <w:right w:val="none" w:sz="0" w:space="0" w:color="auto"/>
      </w:divBdr>
    </w:div>
    <w:div w:id="1754232356">
      <w:bodyDiv w:val="1"/>
      <w:marLeft w:val="0"/>
      <w:marRight w:val="0"/>
      <w:marTop w:val="0"/>
      <w:marBottom w:val="0"/>
      <w:divBdr>
        <w:top w:val="none" w:sz="0" w:space="0" w:color="auto"/>
        <w:left w:val="none" w:sz="0" w:space="0" w:color="auto"/>
        <w:bottom w:val="none" w:sz="0" w:space="0" w:color="auto"/>
        <w:right w:val="none" w:sz="0" w:space="0" w:color="auto"/>
      </w:divBdr>
    </w:div>
    <w:div w:id="1763842922">
      <w:bodyDiv w:val="1"/>
      <w:marLeft w:val="0"/>
      <w:marRight w:val="0"/>
      <w:marTop w:val="0"/>
      <w:marBottom w:val="0"/>
      <w:divBdr>
        <w:top w:val="none" w:sz="0" w:space="0" w:color="auto"/>
        <w:left w:val="none" w:sz="0" w:space="0" w:color="auto"/>
        <w:bottom w:val="none" w:sz="0" w:space="0" w:color="auto"/>
        <w:right w:val="none" w:sz="0" w:space="0" w:color="auto"/>
      </w:divBdr>
    </w:div>
    <w:div w:id="1769151475">
      <w:bodyDiv w:val="1"/>
      <w:marLeft w:val="0"/>
      <w:marRight w:val="0"/>
      <w:marTop w:val="0"/>
      <w:marBottom w:val="0"/>
      <w:divBdr>
        <w:top w:val="none" w:sz="0" w:space="0" w:color="auto"/>
        <w:left w:val="none" w:sz="0" w:space="0" w:color="auto"/>
        <w:bottom w:val="none" w:sz="0" w:space="0" w:color="auto"/>
        <w:right w:val="none" w:sz="0" w:space="0" w:color="auto"/>
      </w:divBdr>
    </w:div>
    <w:div w:id="1769498680">
      <w:bodyDiv w:val="1"/>
      <w:marLeft w:val="0"/>
      <w:marRight w:val="0"/>
      <w:marTop w:val="0"/>
      <w:marBottom w:val="0"/>
      <w:divBdr>
        <w:top w:val="none" w:sz="0" w:space="0" w:color="auto"/>
        <w:left w:val="none" w:sz="0" w:space="0" w:color="auto"/>
        <w:bottom w:val="none" w:sz="0" w:space="0" w:color="auto"/>
        <w:right w:val="none" w:sz="0" w:space="0" w:color="auto"/>
      </w:divBdr>
    </w:div>
    <w:div w:id="1775899718">
      <w:bodyDiv w:val="1"/>
      <w:marLeft w:val="0"/>
      <w:marRight w:val="0"/>
      <w:marTop w:val="0"/>
      <w:marBottom w:val="0"/>
      <w:divBdr>
        <w:top w:val="none" w:sz="0" w:space="0" w:color="auto"/>
        <w:left w:val="none" w:sz="0" w:space="0" w:color="auto"/>
        <w:bottom w:val="none" w:sz="0" w:space="0" w:color="auto"/>
        <w:right w:val="none" w:sz="0" w:space="0" w:color="auto"/>
      </w:divBdr>
    </w:div>
    <w:div w:id="1777821797">
      <w:bodyDiv w:val="1"/>
      <w:marLeft w:val="0"/>
      <w:marRight w:val="0"/>
      <w:marTop w:val="0"/>
      <w:marBottom w:val="0"/>
      <w:divBdr>
        <w:top w:val="none" w:sz="0" w:space="0" w:color="auto"/>
        <w:left w:val="none" w:sz="0" w:space="0" w:color="auto"/>
        <w:bottom w:val="none" w:sz="0" w:space="0" w:color="auto"/>
        <w:right w:val="none" w:sz="0" w:space="0" w:color="auto"/>
      </w:divBdr>
    </w:div>
    <w:div w:id="1782920283">
      <w:bodyDiv w:val="1"/>
      <w:marLeft w:val="0"/>
      <w:marRight w:val="0"/>
      <w:marTop w:val="0"/>
      <w:marBottom w:val="0"/>
      <w:divBdr>
        <w:top w:val="none" w:sz="0" w:space="0" w:color="auto"/>
        <w:left w:val="none" w:sz="0" w:space="0" w:color="auto"/>
        <w:bottom w:val="none" w:sz="0" w:space="0" w:color="auto"/>
        <w:right w:val="none" w:sz="0" w:space="0" w:color="auto"/>
      </w:divBdr>
    </w:div>
    <w:div w:id="1786804449">
      <w:bodyDiv w:val="1"/>
      <w:marLeft w:val="0"/>
      <w:marRight w:val="0"/>
      <w:marTop w:val="0"/>
      <w:marBottom w:val="0"/>
      <w:divBdr>
        <w:top w:val="none" w:sz="0" w:space="0" w:color="auto"/>
        <w:left w:val="none" w:sz="0" w:space="0" w:color="auto"/>
        <w:bottom w:val="none" w:sz="0" w:space="0" w:color="auto"/>
        <w:right w:val="none" w:sz="0" w:space="0" w:color="auto"/>
      </w:divBdr>
    </w:div>
    <w:div w:id="1793163049">
      <w:bodyDiv w:val="1"/>
      <w:marLeft w:val="0"/>
      <w:marRight w:val="0"/>
      <w:marTop w:val="0"/>
      <w:marBottom w:val="0"/>
      <w:divBdr>
        <w:top w:val="none" w:sz="0" w:space="0" w:color="auto"/>
        <w:left w:val="none" w:sz="0" w:space="0" w:color="auto"/>
        <w:bottom w:val="none" w:sz="0" w:space="0" w:color="auto"/>
        <w:right w:val="none" w:sz="0" w:space="0" w:color="auto"/>
      </w:divBdr>
    </w:div>
    <w:div w:id="1805345510">
      <w:bodyDiv w:val="1"/>
      <w:marLeft w:val="0"/>
      <w:marRight w:val="0"/>
      <w:marTop w:val="0"/>
      <w:marBottom w:val="0"/>
      <w:divBdr>
        <w:top w:val="none" w:sz="0" w:space="0" w:color="auto"/>
        <w:left w:val="none" w:sz="0" w:space="0" w:color="auto"/>
        <w:bottom w:val="none" w:sz="0" w:space="0" w:color="auto"/>
        <w:right w:val="none" w:sz="0" w:space="0" w:color="auto"/>
      </w:divBdr>
    </w:div>
    <w:div w:id="1814177671">
      <w:bodyDiv w:val="1"/>
      <w:marLeft w:val="0"/>
      <w:marRight w:val="0"/>
      <w:marTop w:val="0"/>
      <w:marBottom w:val="0"/>
      <w:divBdr>
        <w:top w:val="none" w:sz="0" w:space="0" w:color="auto"/>
        <w:left w:val="none" w:sz="0" w:space="0" w:color="auto"/>
        <w:bottom w:val="none" w:sz="0" w:space="0" w:color="auto"/>
        <w:right w:val="none" w:sz="0" w:space="0" w:color="auto"/>
      </w:divBdr>
    </w:div>
    <w:div w:id="1825661115">
      <w:bodyDiv w:val="1"/>
      <w:marLeft w:val="0"/>
      <w:marRight w:val="0"/>
      <w:marTop w:val="0"/>
      <w:marBottom w:val="0"/>
      <w:divBdr>
        <w:top w:val="none" w:sz="0" w:space="0" w:color="auto"/>
        <w:left w:val="none" w:sz="0" w:space="0" w:color="auto"/>
        <w:bottom w:val="none" w:sz="0" w:space="0" w:color="auto"/>
        <w:right w:val="none" w:sz="0" w:space="0" w:color="auto"/>
      </w:divBdr>
    </w:div>
    <w:div w:id="1827088011">
      <w:bodyDiv w:val="1"/>
      <w:marLeft w:val="0"/>
      <w:marRight w:val="0"/>
      <w:marTop w:val="0"/>
      <w:marBottom w:val="0"/>
      <w:divBdr>
        <w:top w:val="none" w:sz="0" w:space="0" w:color="auto"/>
        <w:left w:val="none" w:sz="0" w:space="0" w:color="auto"/>
        <w:bottom w:val="none" w:sz="0" w:space="0" w:color="auto"/>
        <w:right w:val="none" w:sz="0" w:space="0" w:color="auto"/>
      </w:divBdr>
    </w:div>
    <w:div w:id="1836727121">
      <w:bodyDiv w:val="1"/>
      <w:marLeft w:val="0"/>
      <w:marRight w:val="0"/>
      <w:marTop w:val="0"/>
      <w:marBottom w:val="0"/>
      <w:divBdr>
        <w:top w:val="none" w:sz="0" w:space="0" w:color="auto"/>
        <w:left w:val="none" w:sz="0" w:space="0" w:color="auto"/>
        <w:bottom w:val="none" w:sz="0" w:space="0" w:color="auto"/>
        <w:right w:val="none" w:sz="0" w:space="0" w:color="auto"/>
      </w:divBdr>
    </w:div>
    <w:div w:id="1838377175">
      <w:bodyDiv w:val="1"/>
      <w:marLeft w:val="0"/>
      <w:marRight w:val="0"/>
      <w:marTop w:val="0"/>
      <w:marBottom w:val="0"/>
      <w:divBdr>
        <w:top w:val="none" w:sz="0" w:space="0" w:color="auto"/>
        <w:left w:val="none" w:sz="0" w:space="0" w:color="auto"/>
        <w:bottom w:val="none" w:sz="0" w:space="0" w:color="auto"/>
        <w:right w:val="none" w:sz="0" w:space="0" w:color="auto"/>
      </w:divBdr>
    </w:div>
    <w:div w:id="1839232230">
      <w:bodyDiv w:val="1"/>
      <w:marLeft w:val="0"/>
      <w:marRight w:val="0"/>
      <w:marTop w:val="0"/>
      <w:marBottom w:val="0"/>
      <w:divBdr>
        <w:top w:val="none" w:sz="0" w:space="0" w:color="auto"/>
        <w:left w:val="none" w:sz="0" w:space="0" w:color="auto"/>
        <w:bottom w:val="none" w:sz="0" w:space="0" w:color="auto"/>
        <w:right w:val="none" w:sz="0" w:space="0" w:color="auto"/>
      </w:divBdr>
    </w:div>
    <w:div w:id="1841967257">
      <w:bodyDiv w:val="1"/>
      <w:marLeft w:val="0"/>
      <w:marRight w:val="0"/>
      <w:marTop w:val="0"/>
      <w:marBottom w:val="0"/>
      <w:divBdr>
        <w:top w:val="none" w:sz="0" w:space="0" w:color="auto"/>
        <w:left w:val="none" w:sz="0" w:space="0" w:color="auto"/>
        <w:bottom w:val="none" w:sz="0" w:space="0" w:color="auto"/>
        <w:right w:val="none" w:sz="0" w:space="0" w:color="auto"/>
      </w:divBdr>
    </w:div>
    <w:div w:id="1842546191">
      <w:bodyDiv w:val="1"/>
      <w:marLeft w:val="0"/>
      <w:marRight w:val="0"/>
      <w:marTop w:val="0"/>
      <w:marBottom w:val="0"/>
      <w:divBdr>
        <w:top w:val="none" w:sz="0" w:space="0" w:color="auto"/>
        <w:left w:val="none" w:sz="0" w:space="0" w:color="auto"/>
        <w:bottom w:val="none" w:sz="0" w:space="0" w:color="auto"/>
        <w:right w:val="none" w:sz="0" w:space="0" w:color="auto"/>
      </w:divBdr>
    </w:div>
    <w:div w:id="1847018750">
      <w:bodyDiv w:val="1"/>
      <w:marLeft w:val="0"/>
      <w:marRight w:val="0"/>
      <w:marTop w:val="0"/>
      <w:marBottom w:val="0"/>
      <w:divBdr>
        <w:top w:val="none" w:sz="0" w:space="0" w:color="auto"/>
        <w:left w:val="none" w:sz="0" w:space="0" w:color="auto"/>
        <w:bottom w:val="none" w:sz="0" w:space="0" w:color="auto"/>
        <w:right w:val="none" w:sz="0" w:space="0" w:color="auto"/>
      </w:divBdr>
    </w:div>
    <w:div w:id="1851022883">
      <w:bodyDiv w:val="1"/>
      <w:marLeft w:val="0"/>
      <w:marRight w:val="0"/>
      <w:marTop w:val="0"/>
      <w:marBottom w:val="0"/>
      <w:divBdr>
        <w:top w:val="none" w:sz="0" w:space="0" w:color="auto"/>
        <w:left w:val="none" w:sz="0" w:space="0" w:color="auto"/>
        <w:bottom w:val="none" w:sz="0" w:space="0" w:color="auto"/>
        <w:right w:val="none" w:sz="0" w:space="0" w:color="auto"/>
      </w:divBdr>
    </w:div>
    <w:div w:id="1854831666">
      <w:bodyDiv w:val="1"/>
      <w:marLeft w:val="0"/>
      <w:marRight w:val="0"/>
      <w:marTop w:val="0"/>
      <w:marBottom w:val="0"/>
      <w:divBdr>
        <w:top w:val="none" w:sz="0" w:space="0" w:color="auto"/>
        <w:left w:val="none" w:sz="0" w:space="0" w:color="auto"/>
        <w:bottom w:val="none" w:sz="0" w:space="0" w:color="auto"/>
        <w:right w:val="none" w:sz="0" w:space="0" w:color="auto"/>
      </w:divBdr>
    </w:div>
    <w:div w:id="1857959059">
      <w:bodyDiv w:val="1"/>
      <w:marLeft w:val="0"/>
      <w:marRight w:val="0"/>
      <w:marTop w:val="0"/>
      <w:marBottom w:val="0"/>
      <w:divBdr>
        <w:top w:val="none" w:sz="0" w:space="0" w:color="auto"/>
        <w:left w:val="none" w:sz="0" w:space="0" w:color="auto"/>
        <w:bottom w:val="none" w:sz="0" w:space="0" w:color="auto"/>
        <w:right w:val="none" w:sz="0" w:space="0" w:color="auto"/>
      </w:divBdr>
    </w:div>
    <w:div w:id="1862664906">
      <w:bodyDiv w:val="1"/>
      <w:marLeft w:val="0"/>
      <w:marRight w:val="0"/>
      <w:marTop w:val="0"/>
      <w:marBottom w:val="0"/>
      <w:divBdr>
        <w:top w:val="none" w:sz="0" w:space="0" w:color="auto"/>
        <w:left w:val="none" w:sz="0" w:space="0" w:color="auto"/>
        <w:bottom w:val="none" w:sz="0" w:space="0" w:color="auto"/>
        <w:right w:val="none" w:sz="0" w:space="0" w:color="auto"/>
      </w:divBdr>
    </w:div>
    <w:div w:id="1877086191">
      <w:bodyDiv w:val="1"/>
      <w:marLeft w:val="0"/>
      <w:marRight w:val="0"/>
      <w:marTop w:val="0"/>
      <w:marBottom w:val="0"/>
      <w:divBdr>
        <w:top w:val="none" w:sz="0" w:space="0" w:color="auto"/>
        <w:left w:val="none" w:sz="0" w:space="0" w:color="auto"/>
        <w:bottom w:val="none" w:sz="0" w:space="0" w:color="auto"/>
        <w:right w:val="none" w:sz="0" w:space="0" w:color="auto"/>
      </w:divBdr>
    </w:div>
    <w:div w:id="1879851578">
      <w:bodyDiv w:val="1"/>
      <w:marLeft w:val="0"/>
      <w:marRight w:val="0"/>
      <w:marTop w:val="0"/>
      <w:marBottom w:val="0"/>
      <w:divBdr>
        <w:top w:val="none" w:sz="0" w:space="0" w:color="auto"/>
        <w:left w:val="none" w:sz="0" w:space="0" w:color="auto"/>
        <w:bottom w:val="none" w:sz="0" w:space="0" w:color="auto"/>
        <w:right w:val="none" w:sz="0" w:space="0" w:color="auto"/>
      </w:divBdr>
    </w:div>
    <w:div w:id="1895658180">
      <w:bodyDiv w:val="1"/>
      <w:marLeft w:val="0"/>
      <w:marRight w:val="0"/>
      <w:marTop w:val="0"/>
      <w:marBottom w:val="0"/>
      <w:divBdr>
        <w:top w:val="none" w:sz="0" w:space="0" w:color="auto"/>
        <w:left w:val="none" w:sz="0" w:space="0" w:color="auto"/>
        <w:bottom w:val="none" w:sz="0" w:space="0" w:color="auto"/>
        <w:right w:val="none" w:sz="0" w:space="0" w:color="auto"/>
      </w:divBdr>
    </w:div>
    <w:div w:id="1901282282">
      <w:bodyDiv w:val="1"/>
      <w:marLeft w:val="0"/>
      <w:marRight w:val="0"/>
      <w:marTop w:val="0"/>
      <w:marBottom w:val="0"/>
      <w:divBdr>
        <w:top w:val="none" w:sz="0" w:space="0" w:color="auto"/>
        <w:left w:val="none" w:sz="0" w:space="0" w:color="auto"/>
        <w:bottom w:val="none" w:sz="0" w:space="0" w:color="auto"/>
        <w:right w:val="none" w:sz="0" w:space="0" w:color="auto"/>
      </w:divBdr>
    </w:div>
    <w:div w:id="1901668542">
      <w:bodyDiv w:val="1"/>
      <w:marLeft w:val="0"/>
      <w:marRight w:val="0"/>
      <w:marTop w:val="0"/>
      <w:marBottom w:val="0"/>
      <w:divBdr>
        <w:top w:val="none" w:sz="0" w:space="0" w:color="auto"/>
        <w:left w:val="none" w:sz="0" w:space="0" w:color="auto"/>
        <w:bottom w:val="none" w:sz="0" w:space="0" w:color="auto"/>
        <w:right w:val="none" w:sz="0" w:space="0" w:color="auto"/>
      </w:divBdr>
    </w:div>
    <w:div w:id="1912153520">
      <w:bodyDiv w:val="1"/>
      <w:marLeft w:val="0"/>
      <w:marRight w:val="0"/>
      <w:marTop w:val="0"/>
      <w:marBottom w:val="0"/>
      <w:divBdr>
        <w:top w:val="none" w:sz="0" w:space="0" w:color="auto"/>
        <w:left w:val="none" w:sz="0" w:space="0" w:color="auto"/>
        <w:bottom w:val="none" w:sz="0" w:space="0" w:color="auto"/>
        <w:right w:val="none" w:sz="0" w:space="0" w:color="auto"/>
      </w:divBdr>
    </w:div>
    <w:div w:id="1913617556">
      <w:bodyDiv w:val="1"/>
      <w:marLeft w:val="0"/>
      <w:marRight w:val="0"/>
      <w:marTop w:val="0"/>
      <w:marBottom w:val="0"/>
      <w:divBdr>
        <w:top w:val="none" w:sz="0" w:space="0" w:color="auto"/>
        <w:left w:val="none" w:sz="0" w:space="0" w:color="auto"/>
        <w:bottom w:val="none" w:sz="0" w:space="0" w:color="auto"/>
        <w:right w:val="none" w:sz="0" w:space="0" w:color="auto"/>
      </w:divBdr>
    </w:div>
    <w:div w:id="1940987461">
      <w:bodyDiv w:val="1"/>
      <w:marLeft w:val="0"/>
      <w:marRight w:val="0"/>
      <w:marTop w:val="0"/>
      <w:marBottom w:val="0"/>
      <w:divBdr>
        <w:top w:val="none" w:sz="0" w:space="0" w:color="auto"/>
        <w:left w:val="none" w:sz="0" w:space="0" w:color="auto"/>
        <w:bottom w:val="none" w:sz="0" w:space="0" w:color="auto"/>
        <w:right w:val="none" w:sz="0" w:space="0" w:color="auto"/>
      </w:divBdr>
    </w:div>
    <w:div w:id="1945183162">
      <w:bodyDiv w:val="1"/>
      <w:marLeft w:val="0"/>
      <w:marRight w:val="0"/>
      <w:marTop w:val="0"/>
      <w:marBottom w:val="0"/>
      <w:divBdr>
        <w:top w:val="none" w:sz="0" w:space="0" w:color="auto"/>
        <w:left w:val="none" w:sz="0" w:space="0" w:color="auto"/>
        <w:bottom w:val="none" w:sz="0" w:space="0" w:color="auto"/>
        <w:right w:val="none" w:sz="0" w:space="0" w:color="auto"/>
      </w:divBdr>
    </w:div>
    <w:div w:id="1947542549">
      <w:bodyDiv w:val="1"/>
      <w:marLeft w:val="0"/>
      <w:marRight w:val="0"/>
      <w:marTop w:val="0"/>
      <w:marBottom w:val="0"/>
      <w:divBdr>
        <w:top w:val="none" w:sz="0" w:space="0" w:color="auto"/>
        <w:left w:val="none" w:sz="0" w:space="0" w:color="auto"/>
        <w:bottom w:val="none" w:sz="0" w:space="0" w:color="auto"/>
        <w:right w:val="none" w:sz="0" w:space="0" w:color="auto"/>
      </w:divBdr>
    </w:div>
    <w:div w:id="1948847265">
      <w:bodyDiv w:val="1"/>
      <w:marLeft w:val="0"/>
      <w:marRight w:val="0"/>
      <w:marTop w:val="0"/>
      <w:marBottom w:val="0"/>
      <w:divBdr>
        <w:top w:val="none" w:sz="0" w:space="0" w:color="auto"/>
        <w:left w:val="none" w:sz="0" w:space="0" w:color="auto"/>
        <w:bottom w:val="none" w:sz="0" w:space="0" w:color="auto"/>
        <w:right w:val="none" w:sz="0" w:space="0" w:color="auto"/>
      </w:divBdr>
    </w:div>
    <w:div w:id="1949314955">
      <w:bodyDiv w:val="1"/>
      <w:marLeft w:val="0"/>
      <w:marRight w:val="0"/>
      <w:marTop w:val="0"/>
      <w:marBottom w:val="0"/>
      <w:divBdr>
        <w:top w:val="none" w:sz="0" w:space="0" w:color="auto"/>
        <w:left w:val="none" w:sz="0" w:space="0" w:color="auto"/>
        <w:bottom w:val="none" w:sz="0" w:space="0" w:color="auto"/>
        <w:right w:val="none" w:sz="0" w:space="0" w:color="auto"/>
      </w:divBdr>
    </w:div>
    <w:div w:id="1949703631">
      <w:bodyDiv w:val="1"/>
      <w:marLeft w:val="0"/>
      <w:marRight w:val="0"/>
      <w:marTop w:val="0"/>
      <w:marBottom w:val="0"/>
      <w:divBdr>
        <w:top w:val="none" w:sz="0" w:space="0" w:color="auto"/>
        <w:left w:val="none" w:sz="0" w:space="0" w:color="auto"/>
        <w:bottom w:val="none" w:sz="0" w:space="0" w:color="auto"/>
        <w:right w:val="none" w:sz="0" w:space="0" w:color="auto"/>
      </w:divBdr>
    </w:div>
    <w:div w:id="1950089833">
      <w:bodyDiv w:val="1"/>
      <w:marLeft w:val="0"/>
      <w:marRight w:val="0"/>
      <w:marTop w:val="0"/>
      <w:marBottom w:val="0"/>
      <w:divBdr>
        <w:top w:val="none" w:sz="0" w:space="0" w:color="auto"/>
        <w:left w:val="none" w:sz="0" w:space="0" w:color="auto"/>
        <w:bottom w:val="none" w:sz="0" w:space="0" w:color="auto"/>
        <w:right w:val="none" w:sz="0" w:space="0" w:color="auto"/>
      </w:divBdr>
    </w:div>
    <w:div w:id="1952474106">
      <w:bodyDiv w:val="1"/>
      <w:marLeft w:val="0"/>
      <w:marRight w:val="0"/>
      <w:marTop w:val="0"/>
      <w:marBottom w:val="0"/>
      <w:divBdr>
        <w:top w:val="none" w:sz="0" w:space="0" w:color="auto"/>
        <w:left w:val="none" w:sz="0" w:space="0" w:color="auto"/>
        <w:bottom w:val="none" w:sz="0" w:space="0" w:color="auto"/>
        <w:right w:val="none" w:sz="0" w:space="0" w:color="auto"/>
      </w:divBdr>
    </w:div>
    <w:div w:id="1953973359">
      <w:bodyDiv w:val="1"/>
      <w:marLeft w:val="0"/>
      <w:marRight w:val="0"/>
      <w:marTop w:val="0"/>
      <w:marBottom w:val="0"/>
      <w:divBdr>
        <w:top w:val="none" w:sz="0" w:space="0" w:color="auto"/>
        <w:left w:val="none" w:sz="0" w:space="0" w:color="auto"/>
        <w:bottom w:val="none" w:sz="0" w:space="0" w:color="auto"/>
        <w:right w:val="none" w:sz="0" w:space="0" w:color="auto"/>
      </w:divBdr>
    </w:div>
    <w:div w:id="1957326093">
      <w:bodyDiv w:val="1"/>
      <w:marLeft w:val="0"/>
      <w:marRight w:val="0"/>
      <w:marTop w:val="0"/>
      <w:marBottom w:val="0"/>
      <w:divBdr>
        <w:top w:val="none" w:sz="0" w:space="0" w:color="auto"/>
        <w:left w:val="none" w:sz="0" w:space="0" w:color="auto"/>
        <w:bottom w:val="none" w:sz="0" w:space="0" w:color="auto"/>
        <w:right w:val="none" w:sz="0" w:space="0" w:color="auto"/>
      </w:divBdr>
    </w:div>
    <w:div w:id="1967465607">
      <w:bodyDiv w:val="1"/>
      <w:marLeft w:val="0"/>
      <w:marRight w:val="0"/>
      <w:marTop w:val="0"/>
      <w:marBottom w:val="0"/>
      <w:divBdr>
        <w:top w:val="none" w:sz="0" w:space="0" w:color="auto"/>
        <w:left w:val="none" w:sz="0" w:space="0" w:color="auto"/>
        <w:bottom w:val="none" w:sz="0" w:space="0" w:color="auto"/>
        <w:right w:val="none" w:sz="0" w:space="0" w:color="auto"/>
      </w:divBdr>
    </w:div>
    <w:div w:id="1969627708">
      <w:bodyDiv w:val="1"/>
      <w:marLeft w:val="0"/>
      <w:marRight w:val="0"/>
      <w:marTop w:val="0"/>
      <w:marBottom w:val="0"/>
      <w:divBdr>
        <w:top w:val="none" w:sz="0" w:space="0" w:color="auto"/>
        <w:left w:val="none" w:sz="0" w:space="0" w:color="auto"/>
        <w:bottom w:val="none" w:sz="0" w:space="0" w:color="auto"/>
        <w:right w:val="none" w:sz="0" w:space="0" w:color="auto"/>
      </w:divBdr>
    </w:div>
    <w:div w:id="1980568735">
      <w:bodyDiv w:val="1"/>
      <w:marLeft w:val="0"/>
      <w:marRight w:val="0"/>
      <w:marTop w:val="0"/>
      <w:marBottom w:val="0"/>
      <w:divBdr>
        <w:top w:val="none" w:sz="0" w:space="0" w:color="auto"/>
        <w:left w:val="none" w:sz="0" w:space="0" w:color="auto"/>
        <w:bottom w:val="none" w:sz="0" w:space="0" w:color="auto"/>
        <w:right w:val="none" w:sz="0" w:space="0" w:color="auto"/>
      </w:divBdr>
    </w:div>
    <w:div w:id="1984037853">
      <w:bodyDiv w:val="1"/>
      <w:marLeft w:val="0"/>
      <w:marRight w:val="0"/>
      <w:marTop w:val="0"/>
      <w:marBottom w:val="0"/>
      <w:divBdr>
        <w:top w:val="none" w:sz="0" w:space="0" w:color="auto"/>
        <w:left w:val="none" w:sz="0" w:space="0" w:color="auto"/>
        <w:bottom w:val="none" w:sz="0" w:space="0" w:color="auto"/>
        <w:right w:val="none" w:sz="0" w:space="0" w:color="auto"/>
      </w:divBdr>
    </w:div>
    <w:div w:id="1986153943">
      <w:bodyDiv w:val="1"/>
      <w:marLeft w:val="0"/>
      <w:marRight w:val="0"/>
      <w:marTop w:val="0"/>
      <w:marBottom w:val="0"/>
      <w:divBdr>
        <w:top w:val="none" w:sz="0" w:space="0" w:color="auto"/>
        <w:left w:val="none" w:sz="0" w:space="0" w:color="auto"/>
        <w:bottom w:val="none" w:sz="0" w:space="0" w:color="auto"/>
        <w:right w:val="none" w:sz="0" w:space="0" w:color="auto"/>
      </w:divBdr>
    </w:div>
    <w:div w:id="1992631824">
      <w:bodyDiv w:val="1"/>
      <w:marLeft w:val="0"/>
      <w:marRight w:val="0"/>
      <w:marTop w:val="0"/>
      <w:marBottom w:val="0"/>
      <w:divBdr>
        <w:top w:val="none" w:sz="0" w:space="0" w:color="auto"/>
        <w:left w:val="none" w:sz="0" w:space="0" w:color="auto"/>
        <w:bottom w:val="none" w:sz="0" w:space="0" w:color="auto"/>
        <w:right w:val="none" w:sz="0" w:space="0" w:color="auto"/>
      </w:divBdr>
    </w:div>
    <w:div w:id="2003894819">
      <w:bodyDiv w:val="1"/>
      <w:marLeft w:val="0"/>
      <w:marRight w:val="0"/>
      <w:marTop w:val="0"/>
      <w:marBottom w:val="0"/>
      <w:divBdr>
        <w:top w:val="none" w:sz="0" w:space="0" w:color="auto"/>
        <w:left w:val="none" w:sz="0" w:space="0" w:color="auto"/>
        <w:bottom w:val="none" w:sz="0" w:space="0" w:color="auto"/>
        <w:right w:val="none" w:sz="0" w:space="0" w:color="auto"/>
      </w:divBdr>
    </w:div>
    <w:div w:id="2013533049">
      <w:bodyDiv w:val="1"/>
      <w:marLeft w:val="0"/>
      <w:marRight w:val="0"/>
      <w:marTop w:val="0"/>
      <w:marBottom w:val="0"/>
      <w:divBdr>
        <w:top w:val="none" w:sz="0" w:space="0" w:color="auto"/>
        <w:left w:val="none" w:sz="0" w:space="0" w:color="auto"/>
        <w:bottom w:val="none" w:sz="0" w:space="0" w:color="auto"/>
        <w:right w:val="none" w:sz="0" w:space="0" w:color="auto"/>
      </w:divBdr>
    </w:div>
    <w:div w:id="2014262028">
      <w:bodyDiv w:val="1"/>
      <w:marLeft w:val="0"/>
      <w:marRight w:val="0"/>
      <w:marTop w:val="0"/>
      <w:marBottom w:val="0"/>
      <w:divBdr>
        <w:top w:val="none" w:sz="0" w:space="0" w:color="auto"/>
        <w:left w:val="none" w:sz="0" w:space="0" w:color="auto"/>
        <w:bottom w:val="none" w:sz="0" w:space="0" w:color="auto"/>
        <w:right w:val="none" w:sz="0" w:space="0" w:color="auto"/>
      </w:divBdr>
    </w:div>
    <w:div w:id="2015720855">
      <w:bodyDiv w:val="1"/>
      <w:marLeft w:val="0"/>
      <w:marRight w:val="0"/>
      <w:marTop w:val="0"/>
      <w:marBottom w:val="0"/>
      <w:divBdr>
        <w:top w:val="none" w:sz="0" w:space="0" w:color="auto"/>
        <w:left w:val="none" w:sz="0" w:space="0" w:color="auto"/>
        <w:bottom w:val="none" w:sz="0" w:space="0" w:color="auto"/>
        <w:right w:val="none" w:sz="0" w:space="0" w:color="auto"/>
      </w:divBdr>
    </w:div>
    <w:div w:id="2020423470">
      <w:bodyDiv w:val="1"/>
      <w:marLeft w:val="0"/>
      <w:marRight w:val="0"/>
      <w:marTop w:val="0"/>
      <w:marBottom w:val="0"/>
      <w:divBdr>
        <w:top w:val="none" w:sz="0" w:space="0" w:color="auto"/>
        <w:left w:val="none" w:sz="0" w:space="0" w:color="auto"/>
        <w:bottom w:val="none" w:sz="0" w:space="0" w:color="auto"/>
        <w:right w:val="none" w:sz="0" w:space="0" w:color="auto"/>
      </w:divBdr>
    </w:div>
    <w:div w:id="2053142395">
      <w:bodyDiv w:val="1"/>
      <w:marLeft w:val="0"/>
      <w:marRight w:val="0"/>
      <w:marTop w:val="0"/>
      <w:marBottom w:val="0"/>
      <w:divBdr>
        <w:top w:val="none" w:sz="0" w:space="0" w:color="auto"/>
        <w:left w:val="none" w:sz="0" w:space="0" w:color="auto"/>
        <w:bottom w:val="none" w:sz="0" w:space="0" w:color="auto"/>
        <w:right w:val="none" w:sz="0" w:space="0" w:color="auto"/>
      </w:divBdr>
    </w:div>
    <w:div w:id="2053385657">
      <w:bodyDiv w:val="1"/>
      <w:marLeft w:val="0"/>
      <w:marRight w:val="0"/>
      <w:marTop w:val="0"/>
      <w:marBottom w:val="0"/>
      <w:divBdr>
        <w:top w:val="none" w:sz="0" w:space="0" w:color="auto"/>
        <w:left w:val="none" w:sz="0" w:space="0" w:color="auto"/>
        <w:bottom w:val="none" w:sz="0" w:space="0" w:color="auto"/>
        <w:right w:val="none" w:sz="0" w:space="0" w:color="auto"/>
      </w:divBdr>
    </w:div>
    <w:div w:id="2053770622">
      <w:bodyDiv w:val="1"/>
      <w:marLeft w:val="0"/>
      <w:marRight w:val="0"/>
      <w:marTop w:val="0"/>
      <w:marBottom w:val="0"/>
      <w:divBdr>
        <w:top w:val="none" w:sz="0" w:space="0" w:color="auto"/>
        <w:left w:val="none" w:sz="0" w:space="0" w:color="auto"/>
        <w:bottom w:val="none" w:sz="0" w:space="0" w:color="auto"/>
        <w:right w:val="none" w:sz="0" w:space="0" w:color="auto"/>
      </w:divBdr>
    </w:div>
    <w:div w:id="2054573467">
      <w:bodyDiv w:val="1"/>
      <w:marLeft w:val="0"/>
      <w:marRight w:val="0"/>
      <w:marTop w:val="0"/>
      <w:marBottom w:val="0"/>
      <w:divBdr>
        <w:top w:val="none" w:sz="0" w:space="0" w:color="auto"/>
        <w:left w:val="none" w:sz="0" w:space="0" w:color="auto"/>
        <w:bottom w:val="none" w:sz="0" w:space="0" w:color="auto"/>
        <w:right w:val="none" w:sz="0" w:space="0" w:color="auto"/>
      </w:divBdr>
    </w:div>
    <w:div w:id="2056731761">
      <w:bodyDiv w:val="1"/>
      <w:marLeft w:val="0"/>
      <w:marRight w:val="0"/>
      <w:marTop w:val="0"/>
      <w:marBottom w:val="0"/>
      <w:divBdr>
        <w:top w:val="none" w:sz="0" w:space="0" w:color="auto"/>
        <w:left w:val="none" w:sz="0" w:space="0" w:color="auto"/>
        <w:bottom w:val="none" w:sz="0" w:space="0" w:color="auto"/>
        <w:right w:val="none" w:sz="0" w:space="0" w:color="auto"/>
      </w:divBdr>
    </w:div>
    <w:div w:id="2062627915">
      <w:bodyDiv w:val="1"/>
      <w:marLeft w:val="0"/>
      <w:marRight w:val="0"/>
      <w:marTop w:val="0"/>
      <w:marBottom w:val="0"/>
      <w:divBdr>
        <w:top w:val="none" w:sz="0" w:space="0" w:color="auto"/>
        <w:left w:val="none" w:sz="0" w:space="0" w:color="auto"/>
        <w:bottom w:val="none" w:sz="0" w:space="0" w:color="auto"/>
        <w:right w:val="none" w:sz="0" w:space="0" w:color="auto"/>
      </w:divBdr>
    </w:div>
    <w:div w:id="2069375905">
      <w:bodyDiv w:val="1"/>
      <w:marLeft w:val="0"/>
      <w:marRight w:val="0"/>
      <w:marTop w:val="0"/>
      <w:marBottom w:val="0"/>
      <w:divBdr>
        <w:top w:val="none" w:sz="0" w:space="0" w:color="auto"/>
        <w:left w:val="none" w:sz="0" w:space="0" w:color="auto"/>
        <w:bottom w:val="none" w:sz="0" w:space="0" w:color="auto"/>
        <w:right w:val="none" w:sz="0" w:space="0" w:color="auto"/>
      </w:divBdr>
    </w:div>
    <w:div w:id="2071808838">
      <w:bodyDiv w:val="1"/>
      <w:marLeft w:val="0"/>
      <w:marRight w:val="0"/>
      <w:marTop w:val="0"/>
      <w:marBottom w:val="0"/>
      <w:divBdr>
        <w:top w:val="none" w:sz="0" w:space="0" w:color="auto"/>
        <w:left w:val="none" w:sz="0" w:space="0" w:color="auto"/>
        <w:bottom w:val="none" w:sz="0" w:space="0" w:color="auto"/>
        <w:right w:val="none" w:sz="0" w:space="0" w:color="auto"/>
      </w:divBdr>
    </w:div>
    <w:div w:id="2079358066">
      <w:bodyDiv w:val="1"/>
      <w:marLeft w:val="0"/>
      <w:marRight w:val="0"/>
      <w:marTop w:val="0"/>
      <w:marBottom w:val="0"/>
      <w:divBdr>
        <w:top w:val="none" w:sz="0" w:space="0" w:color="auto"/>
        <w:left w:val="none" w:sz="0" w:space="0" w:color="auto"/>
        <w:bottom w:val="none" w:sz="0" w:space="0" w:color="auto"/>
        <w:right w:val="none" w:sz="0" w:space="0" w:color="auto"/>
      </w:divBdr>
    </w:div>
    <w:div w:id="2087678837">
      <w:bodyDiv w:val="1"/>
      <w:marLeft w:val="0"/>
      <w:marRight w:val="0"/>
      <w:marTop w:val="0"/>
      <w:marBottom w:val="0"/>
      <w:divBdr>
        <w:top w:val="none" w:sz="0" w:space="0" w:color="auto"/>
        <w:left w:val="none" w:sz="0" w:space="0" w:color="auto"/>
        <w:bottom w:val="none" w:sz="0" w:space="0" w:color="auto"/>
        <w:right w:val="none" w:sz="0" w:space="0" w:color="auto"/>
      </w:divBdr>
    </w:div>
    <w:div w:id="2088988287">
      <w:bodyDiv w:val="1"/>
      <w:marLeft w:val="0"/>
      <w:marRight w:val="0"/>
      <w:marTop w:val="0"/>
      <w:marBottom w:val="0"/>
      <w:divBdr>
        <w:top w:val="none" w:sz="0" w:space="0" w:color="auto"/>
        <w:left w:val="none" w:sz="0" w:space="0" w:color="auto"/>
        <w:bottom w:val="none" w:sz="0" w:space="0" w:color="auto"/>
        <w:right w:val="none" w:sz="0" w:space="0" w:color="auto"/>
      </w:divBdr>
    </w:div>
    <w:div w:id="2091151019">
      <w:bodyDiv w:val="1"/>
      <w:marLeft w:val="0"/>
      <w:marRight w:val="0"/>
      <w:marTop w:val="0"/>
      <w:marBottom w:val="0"/>
      <w:divBdr>
        <w:top w:val="none" w:sz="0" w:space="0" w:color="auto"/>
        <w:left w:val="none" w:sz="0" w:space="0" w:color="auto"/>
        <w:bottom w:val="none" w:sz="0" w:space="0" w:color="auto"/>
        <w:right w:val="none" w:sz="0" w:space="0" w:color="auto"/>
      </w:divBdr>
    </w:div>
    <w:div w:id="2103067709">
      <w:bodyDiv w:val="1"/>
      <w:marLeft w:val="0"/>
      <w:marRight w:val="0"/>
      <w:marTop w:val="0"/>
      <w:marBottom w:val="0"/>
      <w:divBdr>
        <w:top w:val="none" w:sz="0" w:space="0" w:color="auto"/>
        <w:left w:val="none" w:sz="0" w:space="0" w:color="auto"/>
        <w:bottom w:val="none" w:sz="0" w:space="0" w:color="auto"/>
        <w:right w:val="none" w:sz="0" w:space="0" w:color="auto"/>
      </w:divBdr>
    </w:div>
    <w:div w:id="2104569737">
      <w:bodyDiv w:val="1"/>
      <w:marLeft w:val="0"/>
      <w:marRight w:val="0"/>
      <w:marTop w:val="0"/>
      <w:marBottom w:val="0"/>
      <w:divBdr>
        <w:top w:val="none" w:sz="0" w:space="0" w:color="auto"/>
        <w:left w:val="none" w:sz="0" w:space="0" w:color="auto"/>
        <w:bottom w:val="none" w:sz="0" w:space="0" w:color="auto"/>
        <w:right w:val="none" w:sz="0" w:space="0" w:color="auto"/>
      </w:divBdr>
    </w:div>
    <w:div w:id="2105950726">
      <w:bodyDiv w:val="1"/>
      <w:marLeft w:val="0"/>
      <w:marRight w:val="0"/>
      <w:marTop w:val="0"/>
      <w:marBottom w:val="0"/>
      <w:divBdr>
        <w:top w:val="none" w:sz="0" w:space="0" w:color="auto"/>
        <w:left w:val="none" w:sz="0" w:space="0" w:color="auto"/>
        <w:bottom w:val="none" w:sz="0" w:space="0" w:color="auto"/>
        <w:right w:val="none" w:sz="0" w:space="0" w:color="auto"/>
      </w:divBdr>
    </w:div>
    <w:div w:id="2112891657">
      <w:bodyDiv w:val="1"/>
      <w:marLeft w:val="0"/>
      <w:marRight w:val="0"/>
      <w:marTop w:val="0"/>
      <w:marBottom w:val="0"/>
      <w:divBdr>
        <w:top w:val="none" w:sz="0" w:space="0" w:color="auto"/>
        <w:left w:val="none" w:sz="0" w:space="0" w:color="auto"/>
        <w:bottom w:val="none" w:sz="0" w:space="0" w:color="auto"/>
        <w:right w:val="none" w:sz="0" w:space="0" w:color="auto"/>
      </w:divBdr>
    </w:div>
    <w:div w:id="2129154192">
      <w:bodyDiv w:val="1"/>
      <w:marLeft w:val="0"/>
      <w:marRight w:val="0"/>
      <w:marTop w:val="0"/>
      <w:marBottom w:val="0"/>
      <w:divBdr>
        <w:top w:val="none" w:sz="0" w:space="0" w:color="auto"/>
        <w:left w:val="none" w:sz="0" w:space="0" w:color="auto"/>
        <w:bottom w:val="none" w:sz="0" w:space="0" w:color="auto"/>
        <w:right w:val="none" w:sz="0" w:space="0" w:color="auto"/>
      </w:divBdr>
    </w:div>
    <w:div w:id="2134711692">
      <w:bodyDiv w:val="1"/>
      <w:marLeft w:val="0"/>
      <w:marRight w:val="0"/>
      <w:marTop w:val="0"/>
      <w:marBottom w:val="0"/>
      <w:divBdr>
        <w:top w:val="none" w:sz="0" w:space="0" w:color="auto"/>
        <w:left w:val="none" w:sz="0" w:space="0" w:color="auto"/>
        <w:bottom w:val="none" w:sz="0" w:space="0" w:color="auto"/>
        <w:right w:val="none" w:sz="0" w:space="0" w:color="auto"/>
      </w:divBdr>
    </w:div>
    <w:div w:id="2144807690">
      <w:bodyDiv w:val="1"/>
      <w:marLeft w:val="0"/>
      <w:marRight w:val="0"/>
      <w:marTop w:val="0"/>
      <w:marBottom w:val="0"/>
      <w:divBdr>
        <w:top w:val="none" w:sz="0" w:space="0" w:color="auto"/>
        <w:left w:val="none" w:sz="0" w:space="0" w:color="auto"/>
        <w:bottom w:val="none" w:sz="0" w:space="0" w:color="auto"/>
        <w:right w:val="none" w:sz="0" w:space="0" w:color="auto"/>
      </w:divBdr>
    </w:div>
    <w:div w:id="214684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scambs.gov.uk/council-aims-and-objectives" TargetMode="External"/><Relationship Id="rId26" Type="http://schemas.openxmlformats.org/officeDocument/2006/relationships/footer" Target="footer2.xml"/><Relationship Id="rId39" Type="http://schemas.openxmlformats.org/officeDocument/2006/relationships/image" Target="media/image14.emf"/><Relationship Id="rId21" Type="http://schemas.openxmlformats.org/officeDocument/2006/relationships/image" Target="media/image4.jpeg"/><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image" Target="media/image43.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mbs.moderngov.co.uk/ieListDocuments.aspx?CId=293&amp;MId=5780&amp;Ver=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header" Target="header3.xml"/><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61" Type="http://schemas.openxmlformats.org/officeDocument/2006/relationships/image" Target="media/image36.emf"/><Relationship Id="rId10" Type="http://schemas.openxmlformats.org/officeDocument/2006/relationships/hyperlink" Target="http://www.scambs.gov.uk" TargetMode="External"/><Relationship Id="rId19" Type="http://schemas.openxmlformats.org/officeDocument/2006/relationships/hyperlink" Target="https://www.scambs.gov.uk/council-aims-and-objectives" TargetMode="External"/><Relationship Id="rId31" Type="http://schemas.openxmlformats.org/officeDocument/2006/relationships/header" Target="header4.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hyperlink" Target="http://www.scambs.gov.uk" TargetMode="External"/><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cambs.moderngov.co.uk/mgListPlans.aspx?RPId=293&amp;bcr=1" TargetMode="External"/><Relationship Id="rId25" Type="http://schemas.openxmlformats.org/officeDocument/2006/relationships/footer" Target="footer1.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image" Target="media/image3.jpeg"/><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cdcfile\FR%20Accountancy\Final%20Accounts\2013-14\Explanatory%20Foreword\Total%20Council%20Tax%20Bill%202013%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cdcfile\FR%20Accountancy\Final%20Accounts\2012-13\Statement%20of%20Accounts\Explanatory%20Foreword\District%20Element%20of%20Council%20Tax%20with%20ranking%202012%2013.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72812646018688"/>
          <c:y val="9.1216216216216214E-2"/>
          <c:w val="0.68297521229743718"/>
          <c:h val="0.6317567567567568"/>
        </c:manualLayout>
      </c:layout>
      <c:barChart>
        <c:barDir val="col"/>
        <c:grouping val="stacked"/>
        <c:varyColors val="0"/>
        <c:ser>
          <c:idx val="0"/>
          <c:order val="0"/>
          <c:tx>
            <c:strRef>
              <c:f>graph!$B$5</c:f>
              <c:strCache>
                <c:ptCount val="1"/>
                <c:pt idx="0">
                  <c:v>County</c:v>
                </c:pt>
              </c:strCache>
            </c:strRef>
          </c:tx>
          <c:spPr>
            <a:solidFill>
              <a:srgbClr val="0000FF"/>
            </a:solidFill>
            <a:ln w="12700">
              <a:solidFill>
                <a:srgbClr val="000000"/>
              </a:solidFill>
              <a:prstDash val="solid"/>
            </a:ln>
          </c:spPr>
          <c:invertIfNegative val="0"/>
          <c:cat>
            <c:strRef>
              <c:f>graph!$A$6:$A$8</c:f>
              <c:strCache>
                <c:ptCount val="3"/>
                <c:pt idx="0">
                  <c:v>South Cambridgeshire</c:v>
                </c:pt>
                <c:pt idx="1">
                  <c:v>Average Total Council Tax in Shire Districts</c:v>
                </c:pt>
                <c:pt idx="2">
                  <c:v>Highest Total Council Tax in Shire Districts</c:v>
                </c:pt>
              </c:strCache>
            </c:strRef>
          </c:cat>
          <c:val>
            <c:numRef>
              <c:f>graph!$B$6:$B$8</c:f>
              <c:numCache>
                <c:formatCode>_(* #,##0.00_);_(* \(#,##0.00\);_(* "-"??_);_(@_)</c:formatCode>
                <c:ptCount val="3"/>
                <c:pt idx="0">
                  <c:v>1100.07</c:v>
                </c:pt>
                <c:pt idx="1">
                  <c:v>1099.5</c:v>
                </c:pt>
                <c:pt idx="2">
                  <c:v>1168.29</c:v>
                </c:pt>
              </c:numCache>
            </c:numRef>
          </c:val>
        </c:ser>
        <c:ser>
          <c:idx val="1"/>
          <c:order val="1"/>
          <c:tx>
            <c:strRef>
              <c:f>graph!$C$5</c:f>
              <c:strCache>
                <c:ptCount val="1"/>
                <c:pt idx="0">
                  <c:v>Police</c:v>
                </c:pt>
              </c:strCache>
            </c:strRef>
          </c:tx>
          <c:spPr>
            <a:solidFill>
              <a:srgbClr val="FFFF00"/>
            </a:solidFill>
            <a:ln w="12700">
              <a:solidFill>
                <a:srgbClr val="000000"/>
              </a:solidFill>
              <a:prstDash val="solid"/>
            </a:ln>
          </c:spPr>
          <c:invertIfNegative val="0"/>
          <c:cat>
            <c:strRef>
              <c:f>graph!$A$6:$A$8</c:f>
              <c:strCache>
                <c:ptCount val="3"/>
                <c:pt idx="0">
                  <c:v>South Cambridgeshire</c:v>
                </c:pt>
                <c:pt idx="1">
                  <c:v>Average Total Council Tax in Shire Districts</c:v>
                </c:pt>
                <c:pt idx="2">
                  <c:v>Highest Total Council Tax in Shire Districts</c:v>
                </c:pt>
              </c:strCache>
            </c:strRef>
          </c:cat>
          <c:val>
            <c:numRef>
              <c:f>graph!$C$6:$C$8</c:f>
              <c:numCache>
                <c:formatCode>_(* #,##0.00_);_(* \(#,##0.00\);_(* "-"??_);_(@_)</c:formatCode>
                <c:ptCount val="3"/>
                <c:pt idx="0">
                  <c:v>177.93</c:v>
                </c:pt>
                <c:pt idx="1">
                  <c:v>169.87</c:v>
                </c:pt>
                <c:pt idx="2">
                  <c:v>183.51</c:v>
                </c:pt>
              </c:numCache>
            </c:numRef>
          </c:val>
        </c:ser>
        <c:ser>
          <c:idx val="2"/>
          <c:order val="2"/>
          <c:tx>
            <c:strRef>
              <c:f>graph!$D$5</c:f>
              <c:strCache>
                <c:ptCount val="1"/>
                <c:pt idx="0">
                  <c:v>Fire</c:v>
                </c:pt>
              </c:strCache>
            </c:strRef>
          </c:tx>
          <c:spPr>
            <a:solidFill>
              <a:srgbClr val="00FFFF"/>
            </a:solidFill>
            <a:ln w="12700">
              <a:solidFill>
                <a:srgbClr val="000000"/>
              </a:solidFill>
              <a:prstDash val="solid"/>
            </a:ln>
          </c:spPr>
          <c:invertIfNegative val="0"/>
          <c:cat>
            <c:strRef>
              <c:f>graph!$A$6:$A$8</c:f>
              <c:strCache>
                <c:ptCount val="3"/>
                <c:pt idx="0">
                  <c:v>South Cambridgeshire</c:v>
                </c:pt>
                <c:pt idx="1">
                  <c:v>Average Total Council Tax in Shire Districts</c:v>
                </c:pt>
                <c:pt idx="2">
                  <c:v>Highest Total Council Tax in Shire Districts</c:v>
                </c:pt>
              </c:strCache>
            </c:strRef>
          </c:cat>
          <c:val>
            <c:numRef>
              <c:f>graph!$D$6:$D$8</c:f>
              <c:numCache>
                <c:formatCode>_(* #,##0.00_);_(* \(#,##0.00\);_(* "-"??_);_(@_)</c:formatCode>
                <c:ptCount val="3"/>
                <c:pt idx="0">
                  <c:v>64.260000000000005</c:v>
                </c:pt>
                <c:pt idx="1">
                  <c:v>67.010000000000005</c:v>
                </c:pt>
                <c:pt idx="2">
                  <c:v>65.34</c:v>
                </c:pt>
              </c:numCache>
            </c:numRef>
          </c:val>
        </c:ser>
        <c:ser>
          <c:idx val="3"/>
          <c:order val="3"/>
          <c:tx>
            <c:strRef>
              <c:f>graph!$E$5</c:f>
              <c:strCache>
                <c:ptCount val="1"/>
                <c:pt idx="0">
                  <c:v>District</c:v>
                </c:pt>
              </c:strCache>
            </c:strRef>
          </c:tx>
          <c:spPr>
            <a:solidFill>
              <a:srgbClr val="CCFFFF"/>
            </a:solidFill>
            <a:ln w="12700">
              <a:solidFill>
                <a:srgbClr val="000000"/>
              </a:solidFill>
              <a:prstDash val="solid"/>
            </a:ln>
          </c:spPr>
          <c:invertIfNegative val="0"/>
          <c:cat>
            <c:strRef>
              <c:f>graph!$A$6:$A$8</c:f>
              <c:strCache>
                <c:ptCount val="3"/>
                <c:pt idx="0">
                  <c:v>South Cambridgeshire</c:v>
                </c:pt>
                <c:pt idx="1">
                  <c:v>Average Total Council Tax in Shire Districts</c:v>
                </c:pt>
                <c:pt idx="2">
                  <c:v>Highest Total Council Tax in Shire Districts</c:v>
                </c:pt>
              </c:strCache>
            </c:strRef>
          </c:cat>
          <c:val>
            <c:numRef>
              <c:f>graph!$E$6:$E$8</c:f>
              <c:numCache>
                <c:formatCode>_(* #,##0.00_);_(* \(#,##0.00\);_(* "-"??_);_(@_)</c:formatCode>
                <c:ptCount val="3"/>
                <c:pt idx="0">
                  <c:v>120.46</c:v>
                </c:pt>
                <c:pt idx="1">
                  <c:v>169.73</c:v>
                </c:pt>
                <c:pt idx="2">
                  <c:v>272.89</c:v>
                </c:pt>
              </c:numCache>
            </c:numRef>
          </c:val>
        </c:ser>
        <c:ser>
          <c:idx val="4"/>
          <c:order val="4"/>
          <c:tx>
            <c:strRef>
              <c:f>graph!$F$5</c:f>
              <c:strCache>
                <c:ptCount val="1"/>
                <c:pt idx="0">
                  <c:v>Parish</c:v>
                </c:pt>
              </c:strCache>
            </c:strRef>
          </c:tx>
          <c:spPr>
            <a:solidFill>
              <a:srgbClr val="660066"/>
            </a:solidFill>
            <a:ln w="12700">
              <a:solidFill>
                <a:srgbClr val="000000"/>
              </a:solidFill>
              <a:prstDash val="solid"/>
            </a:ln>
          </c:spPr>
          <c:invertIfNegative val="0"/>
          <c:cat>
            <c:strRef>
              <c:f>graph!$A$6:$A$8</c:f>
              <c:strCache>
                <c:ptCount val="3"/>
                <c:pt idx="0">
                  <c:v>South Cambridgeshire</c:v>
                </c:pt>
                <c:pt idx="1">
                  <c:v>Average Total Council Tax in Shire Districts</c:v>
                </c:pt>
                <c:pt idx="2">
                  <c:v>Highest Total Council Tax in Shire Districts</c:v>
                </c:pt>
              </c:strCache>
            </c:strRef>
          </c:cat>
          <c:val>
            <c:numRef>
              <c:f>graph!$F$6:$F$8</c:f>
              <c:numCache>
                <c:formatCode>_(* #,##0.00_);_(* \(#,##0.00\);_(* "-"??_);_(@_)</c:formatCode>
                <c:ptCount val="3"/>
                <c:pt idx="0">
                  <c:v>73.55</c:v>
                </c:pt>
                <c:pt idx="1">
                  <c:v>36.76</c:v>
                </c:pt>
                <c:pt idx="2">
                  <c:v>2.39</c:v>
                </c:pt>
              </c:numCache>
            </c:numRef>
          </c:val>
        </c:ser>
        <c:dLbls>
          <c:showLegendKey val="0"/>
          <c:showVal val="0"/>
          <c:showCatName val="0"/>
          <c:showSerName val="0"/>
          <c:showPercent val="0"/>
          <c:showBubbleSize val="0"/>
        </c:dLbls>
        <c:gapWidth val="150"/>
        <c:overlap val="100"/>
        <c:axId val="298573824"/>
        <c:axId val="298575360"/>
      </c:barChart>
      <c:catAx>
        <c:axId val="2985738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98575360"/>
        <c:crosses val="autoZero"/>
        <c:auto val="1"/>
        <c:lblAlgn val="ctr"/>
        <c:lblOffset val="100"/>
        <c:tickLblSkip val="1"/>
        <c:tickMarkSkip val="1"/>
        <c:noMultiLvlLbl val="0"/>
      </c:catAx>
      <c:valAx>
        <c:axId val="298575360"/>
        <c:scaling>
          <c:orientation val="minMax"/>
        </c:scaling>
        <c:delete val="0"/>
        <c:axPos val="l"/>
        <c:majorGridlines>
          <c:spPr>
            <a:ln w="3175">
              <a:solidFill>
                <a:srgbClr val="000000"/>
              </a:solidFill>
              <a:prstDash val="solid"/>
            </a:ln>
          </c:spPr>
        </c:majorGridlines>
        <c:title>
          <c:tx>
            <c:rich>
              <a:bodyPr rot="0" vert="horz"/>
              <a:lstStyle/>
              <a:p>
                <a:pPr algn="ctr">
                  <a:defRPr sz="1025" b="1" i="0" u="none" strike="noStrike" baseline="0">
                    <a:solidFill>
                      <a:srgbClr val="000000"/>
                    </a:solidFill>
                    <a:latin typeface="Arial"/>
                    <a:ea typeface="Arial"/>
                    <a:cs typeface="Arial"/>
                  </a:defRPr>
                </a:pPr>
                <a:r>
                  <a:rPr lang="en-GB"/>
                  <a:t>£</a:t>
                </a:r>
              </a:p>
            </c:rich>
          </c:tx>
          <c:layout>
            <c:manualLayout>
              <c:xMode val="edge"/>
              <c:yMode val="edge"/>
              <c:x val="3.131115459882583E-2"/>
              <c:y val="0.3648648648648648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98573824"/>
        <c:crosses val="autoZero"/>
        <c:crossBetween val="between"/>
      </c:valAx>
      <c:spPr>
        <a:solidFill>
          <a:srgbClr val="FFFFCC"/>
        </a:solidFill>
        <a:ln w="12700">
          <a:solidFill>
            <a:srgbClr val="808080"/>
          </a:solidFill>
          <a:prstDash val="solid"/>
        </a:ln>
      </c:spPr>
    </c:plotArea>
    <c:legend>
      <c:legendPos val="r"/>
      <c:layout>
        <c:manualLayout>
          <c:xMode val="edge"/>
          <c:yMode val="edge"/>
          <c:x val="0.85322978463308519"/>
          <c:y val="0.2195945945945946"/>
          <c:w val="0.13111566533635355"/>
          <c:h val="0.375"/>
        </c:manualLayout>
      </c:layout>
      <c:overlay val="0"/>
      <c:spPr>
        <a:solidFill>
          <a:srgbClr val="FFFFFF"/>
        </a:solidFill>
        <a:ln w="3175">
          <a:solidFill>
            <a:srgbClr val="000000"/>
          </a:solidFill>
          <a:prstDash val="solid"/>
        </a:ln>
      </c:spPr>
      <c:txPr>
        <a:bodyPr/>
        <a:lstStyle/>
        <a:p>
          <a:pPr>
            <a:defRPr sz="94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3"/>
      <c:hPercent val="44"/>
      <c:rotY val="44"/>
      <c:depthPercent val="100"/>
      <c:rAngAx val="1"/>
    </c:view3D>
    <c:floor>
      <c:thickness val="0"/>
      <c:spPr>
        <a:solidFill>
          <a:srgbClr val="FFFFCC"/>
        </a:solidFill>
        <a:ln w="3175">
          <a:solidFill>
            <a:srgbClr val="000000"/>
          </a:solidFill>
          <a:prstDash val="solid"/>
        </a:ln>
      </c:spPr>
    </c:floor>
    <c:sideWall>
      <c:thickness val="0"/>
      <c:spPr>
        <a:gradFill rotWithShape="0">
          <a:gsLst>
            <a:gs pos="0">
              <a:srgbClr val="FFFFCC"/>
            </a:gs>
            <a:gs pos="100000">
              <a:srgbClr val="FFFFFF"/>
            </a:gs>
          </a:gsLst>
          <a:lin ang="5400000" scaled="1"/>
        </a:gradFill>
        <a:ln w="12700">
          <a:solidFill>
            <a:srgbClr val="808080"/>
          </a:solidFill>
          <a:prstDash val="solid"/>
        </a:ln>
      </c:spPr>
    </c:sideWall>
    <c:backWall>
      <c:thickness val="0"/>
      <c:spPr>
        <a:gradFill rotWithShape="0">
          <a:gsLst>
            <a:gs pos="0">
              <a:srgbClr val="FFFFCC"/>
            </a:gs>
            <a:gs pos="100000">
              <a:srgbClr val="FFFFFF"/>
            </a:gs>
          </a:gsLst>
          <a:lin ang="5400000" scaled="1"/>
        </a:gradFill>
        <a:ln w="12700">
          <a:solidFill>
            <a:srgbClr val="808080"/>
          </a:solidFill>
          <a:prstDash val="solid"/>
        </a:ln>
      </c:spPr>
    </c:backWall>
    <c:plotArea>
      <c:layout>
        <c:manualLayout>
          <c:layoutTarget val="inner"/>
          <c:xMode val="edge"/>
          <c:yMode val="edge"/>
          <c:x val="0.12370617230952301"/>
          <c:y val="8.3809823772028502E-2"/>
          <c:w val="0.62412242945958873"/>
          <c:h val="0.81333633295838015"/>
        </c:manualLayout>
      </c:layout>
      <c:bar3DChart>
        <c:barDir val="col"/>
        <c:grouping val="clustered"/>
        <c:varyColors val="0"/>
        <c:ser>
          <c:idx val="0"/>
          <c:order val="0"/>
          <c:tx>
            <c:strRef>
              <c:f>Sheet1!$A$4</c:f>
              <c:strCache>
                <c:ptCount val="1"/>
                <c:pt idx="0">
                  <c:v>Lowest district</c:v>
                </c:pt>
              </c:strCache>
            </c:strRef>
          </c:tx>
          <c:spPr>
            <a:solidFill>
              <a:srgbClr val="3366FF"/>
            </a:solidFill>
            <a:ln w="12700">
              <a:solidFill>
                <a:srgbClr val="000000"/>
              </a:solidFill>
              <a:prstDash val="solid"/>
            </a:ln>
          </c:spPr>
          <c:invertIfNegative val="0"/>
          <c:cat>
            <c:strRef>
              <c:f>Sheet1!$B$3:$G$3</c:f>
              <c:strCache>
                <c:ptCount val="6"/>
                <c:pt idx="0">
                  <c:v>2009/10</c:v>
                </c:pt>
                <c:pt idx="1">
                  <c:v>2010/11</c:v>
                </c:pt>
                <c:pt idx="2">
                  <c:v>2011/12</c:v>
                </c:pt>
                <c:pt idx="3">
                  <c:v>2012/13</c:v>
                </c:pt>
                <c:pt idx="4">
                  <c:v>2013/14</c:v>
                </c:pt>
                <c:pt idx="5">
                  <c:v>2014/15</c:v>
                </c:pt>
              </c:strCache>
            </c:strRef>
          </c:cat>
          <c:val>
            <c:numRef>
              <c:f>Sheet1!$B$4:$G$4</c:f>
              <c:numCache>
                <c:formatCode>_(* #,##0.00_);_(* \(#,##0.00\);_(* "-"??_);_(@_)</c:formatCode>
                <c:ptCount val="6"/>
                <c:pt idx="0">
                  <c:v>67.569999999999993</c:v>
                </c:pt>
                <c:pt idx="1">
                  <c:v>67.930000000000007</c:v>
                </c:pt>
                <c:pt idx="2">
                  <c:v>65.5</c:v>
                </c:pt>
                <c:pt idx="3">
                  <c:v>65.48</c:v>
                </c:pt>
                <c:pt idx="4">
                  <c:v>70.459999999999994</c:v>
                </c:pt>
                <c:pt idx="5">
                  <c:v>70.459999999999994</c:v>
                </c:pt>
              </c:numCache>
            </c:numRef>
          </c:val>
        </c:ser>
        <c:ser>
          <c:idx val="1"/>
          <c:order val="1"/>
          <c:tx>
            <c:strRef>
              <c:f>Sheet1!$A$5</c:f>
              <c:strCache>
                <c:ptCount val="1"/>
                <c:pt idx="0">
                  <c:v>South Cambridgeshire</c:v>
                </c:pt>
              </c:strCache>
            </c:strRef>
          </c:tx>
          <c:spPr>
            <a:solidFill>
              <a:srgbClr val="00FF00"/>
            </a:solidFill>
            <a:ln w="12700">
              <a:solidFill>
                <a:srgbClr val="000000"/>
              </a:solidFill>
              <a:prstDash val="solid"/>
            </a:ln>
          </c:spPr>
          <c:invertIfNegative val="0"/>
          <c:cat>
            <c:strRef>
              <c:f>Sheet1!$B$3:$G$3</c:f>
              <c:strCache>
                <c:ptCount val="6"/>
                <c:pt idx="0">
                  <c:v>2009/10</c:v>
                </c:pt>
                <c:pt idx="1">
                  <c:v>2010/11</c:v>
                </c:pt>
                <c:pt idx="2">
                  <c:v>2011/12</c:v>
                </c:pt>
                <c:pt idx="3">
                  <c:v>2012/13</c:v>
                </c:pt>
                <c:pt idx="4">
                  <c:v>2013/14</c:v>
                </c:pt>
                <c:pt idx="5">
                  <c:v>2014/15</c:v>
                </c:pt>
              </c:strCache>
            </c:strRef>
          </c:cat>
          <c:val>
            <c:numRef>
              <c:f>Sheet1!$B$5:$G$5</c:f>
              <c:numCache>
                <c:formatCode>_(* #,##0.00_);_(* \(#,##0.00\);_(* "-"??_);_(@_)</c:formatCode>
                <c:ptCount val="6"/>
                <c:pt idx="0">
                  <c:v>112.1</c:v>
                </c:pt>
                <c:pt idx="1">
                  <c:v>115.46</c:v>
                </c:pt>
                <c:pt idx="2">
                  <c:v>115.46</c:v>
                </c:pt>
                <c:pt idx="3">
                  <c:v>115.46</c:v>
                </c:pt>
                <c:pt idx="4">
                  <c:v>120.46</c:v>
                </c:pt>
                <c:pt idx="5">
                  <c:v>122.86</c:v>
                </c:pt>
              </c:numCache>
            </c:numRef>
          </c:val>
        </c:ser>
        <c:ser>
          <c:idx val="2"/>
          <c:order val="2"/>
          <c:tx>
            <c:strRef>
              <c:f>Sheet1!$A$6</c:f>
              <c:strCache>
                <c:ptCount val="1"/>
                <c:pt idx="0">
                  <c:v>Average</c:v>
                </c:pt>
              </c:strCache>
            </c:strRef>
          </c:tx>
          <c:spPr>
            <a:solidFill>
              <a:srgbClr val="FFFF00"/>
            </a:solidFill>
            <a:ln w="12700">
              <a:solidFill>
                <a:srgbClr val="000000"/>
              </a:solidFill>
              <a:prstDash val="solid"/>
            </a:ln>
          </c:spPr>
          <c:invertIfNegative val="0"/>
          <c:cat>
            <c:strRef>
              <c:f>Sheet1!$B$3:$G$3</c:f>
              <c:strCache>
                <c:ptCount val="6"/>
                <c:pt idx="0">
                  <c:v>2009/10</c:v>
                </c:pt>
                <c:pt idx="1">
                  <c:v>2010/11</c:v>
                </c:pt>
                <c:pt idx="2">
                  <c:v>2011/12</c:v>
                </c:pt>
                <c:pt idx="3">
                  <c:v>2012/13</c:v>
                </c:pt>
                <c:pt idx="4">
                  <c:v>2013/14</c:v>
                </c:pt>
                <c:pt idx="5">
                  <c:v>2014/15</c:v>
                </c:pt>
              </c:strCache>
            </c:strRef>
          </c:cat>
          <c:val>
            <c:numRef>
              <c:f>Sheet1!$B$6:$G$6</c:f>
              <c:numCache>
                <c:formatCode>_(* #,##0.00_);_(* \(#,##0.00\);_(* "-"??_);_(@_)</c:formatCode>
                <c:ptCount val="6"/>
                <c:pt idx="0">
                  <c:v>162.88</c:v>
                </c:pt>
                <c:pt idx="1">
                  <c:v>165.83</c:v>
                </c:pt>
                <c:pt idx="2">
                  <c:v>165.65</c:v>
                </c:pt>
                <c:pt idx="3">
                  <c:v>166.02</c:v>
                </c:pt>
                <c:pt idx="4">
                  <c:v>169.73</c:v>
                </c:pt>
                <c:pt idx="5">
                  <c:v>170.69</c:v>
                </c:pt>
              </c:numCache>
            </c:numRef>
          </c:val>
        </c:ser>
        <c:ser>
          <c:idx val="3"/>
          <c:order val="3"/>
          <c:tx>
            <c:strRef>
              <c:f>Sheet1!$A$7</c:f>
              <c:strCache>
                <c:ptCount val="1"/>
                <c:pt idx="0">
                  <c:v>Highest</c:v>
                </c:pt>
              </c:strCache>
            </c:strRef>
          </c:tx>
          <c:spPr>
            <a:solidFill>
              <a:srgbClr val="CCFFFF"/>
            </a:solidFill>
            <a:ln w="12700">
              <a:solidFill>
                <a:srgbClr val="000000"/>
              </a:solidFill>
              <a:prstDash val="solid"/>
            </a:ln>
          </c:spPr>
          <c:invertIfNegative val="0"/>
          <c:cat>
            <c:strRef>
              <c:f>Sheet1!$B$3:$G$3</c:f>
              <c:strCache>
                <c:ptCount val="6"/>
                <c:pt idx="0">
                  <c:v>2009/10</c:v>
                </c:pt>
                <c:pt idx="1">
                  <c:v>2010/11</c:v>
                </c:pt>
                <c:pt idx="2">
                  <c:v>2011/12</c:v>
                </c:pt>
                <c:pt idx="3">
                  <c:v>2012/13</c:v>
                </c:pt>
                <c:pt idx="4">
                  <c:v>2013/14</c:v>
                </c:pt>
                <c:pt idx="5">
                  <c:v>2014/15</c:v>
                </c:pt>
              </c:strCache>
            </c:strRef>
          </c:cat>
          <c:val>
            <c:numRef>
              <c:f>Sheet1!$B$7:$G$7</c:f>
              <c:numCache>
                <c:formatCode>_(* #,##0.00_);_(* \(#,##0.00\);_(* "-"??_);_(@_)</c:formatCode>
                <c:ptCount val="6"/>
                <c:pt idx="0">
                  <c:v>306.89999999999998</c:v>
                </c:pt>
                <c:pt idx="1">
                  <c:v>312.83999999999997</c:v>
                </c:pt>
                <c:pt idx="2">
                  <c:v>309.69</c:v>
                </c:pt>
                <c:pt idx="3">
                  <c:v>309.69</c:v>
                </c:pt>
                <c:pt idx="4">
                  <c:v>315.81</c:v>
                </c:pt>
                <c:pt idx="5">
                  <c:v>322.11</c:v>
                </c:pt>
              </c:numCache>
            </c:numRef>
          </c:val>
        </c:ser>
        <c:dLbls>
          <c:showLegendKey val="0"/>
          <c:showVal val="0"/>
          <c:showCatName val="0"/>
          <c:showSerName val="0"/>
          <c:showPercent val="0"/>
          <c:showBubbleSize val="0"/>
        </c:dLbls>
        <c:gapWidth val="150"/>
        <c:shape val="box"/>
        <c:axId val="298752256"/>
        <c:axId val="298762240"/>
        <c:axId val="0"/>
      </c:bar3DChart>
      <c:catAx>
        <c:axId val="298752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8762240"/>
        <c:crosses val="autoZero"/>
        <c:auto val="1"/>
        <c:lblAlgn val="ctr"/>
        <c:lblOffset val="100"/>
        <c:tickLblSkip val="1"/>
        <c:tickMarkSkip val="1"/>
        <c:noMultiLvlLbl val="0"/>
      </c:catAx>
      <c:valAx>
        <c:axId val="298762240"/>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Arial"/>
                    <a:ea typeface="Arial"/>
                    <a:cs typeface="Arial"/>
                  </a:defRPr>
                </a:pPr>
                <a:r>
                  <a:rPr lang="en-GB"/>
                  <a:t>£</a:t>
                </a:r>
              </a:p>
            </c:rich>
          </c:tx>
          <c:layout>
            <c:manualLayout>
              <c:xMode val="edge"/>
              <c:yMode val="edge"/>
              <c:x val="1.2704094914964898E-2"/>
              <c:y val="0.37619199560839212"/>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8752256"/>
        <c:crosses val="autoZero"/>
        <c:crossBetween val="between"/>
      </c:valAx>
      <c:spPr>
        <a:noFill/>
        <a:ln w="25400">
          <a:noFill/>
        </a:ln>
      </c:spPr>
    </c:plotArea>
    <c:legend>
      <c:legendPos val="r"/>
      <c:layout>
        <c:manualLayout>
          <c:xMode val="edge"/>
          <c:yMode val="edge"/>
          <c:x val="0.75771777308324262"/>
          <c:y val="0.25714373938551799"/>
          <c:w val="0.22957813200179245"/>
          <c:h val="0.4047638653011511"/>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3"/>
      <c:hPercent val="60"/>
      <c:rotY val="44"/>
      <c:depthPercent val="100"/>
      <c:rAngAx val="1"/>
    </c:view3D>
    <c:floor>
      <c:thickness val="0"/>
      <c:spPr>
        <a:solidFill>
          <a:srgbClr val="FFFFCC"/>
        </a:solidFill>
        <a:ln w="3175">
          <a:solidFill>
            <a:srgbClr val="000000"/>
          </a:solidFill>
          <a:prstDash val="solid"/>
        </a:ln>
      </c:spPr>
    </c:floor>
    <c:sideWall>
      <c:thickness val="0"/>
      <c:spPr>
        <a:gradFill rotWithShape="0">
          <a:gsLst>
            <a:gs pos="0">
              <a:srgbClr val="FFFFCC"/>
            </a:gs>
            <a:gs pos="100000">
              <a:srgbClr val="FFFFFF"/>
            </a:gs>
          </a:gsLst>
          <a:lin ang="5400000" scaled="1"/>
        </a:gradFill>
        <a:ln w="12700">
          <a:solidFill>
            <a:srgbClr val="808080"/>
          </a:solidFill>
          <a:prstDash val="solid"/>
        </a:ln>
      </c:spPr>
    </c:sideWall>
    <c:backWall>
      <c:thickness val="0"/>
      <c:spPr>
        <a:gradFill rotWithShape="0">
          <a:gsLst>
            <a:gs pos="0">
              <a:srgbClr val="FFFFCC"/>
            </a:gs>
            <a:gs pos="100000">
              <a:srgbClr val="FFFFFF"/>
            </a:gs>
          </a:gsLst>
          <a:lin ang="5400000" scaled="1"/>
        </a:gradFill>
        <a:ln w="12700">
          <a:solidFill>
            <a:srgbClr val="808080"/>
          </a:solidFill>
          <a:prstDash val="solid"/>
        </a:ln>
      </c:spPr>
    </c:backWall>
    <c:plotArea>
      <c:layout>
        <c:manualLayout>
          <c:layoutTarget val="inner"/>
          <c:xMode val="edge"/>
          <c:yMode val="edge"/>
          <c:x val="0.10666666666666667"/>
          <c:y val="2.6284348864994027E-2"/>
          <c:w val="0.70131219074794071"/>
          <c:h val="0.8600713696757083"/>
        </c:manualLayout>
      </c:layout>
      <c:bar3DChart>
        <c:barDir val="col"/>
        <c:grouping val="clustered"/>
        <c:varyColors val="0"/>
        <c:ser>
          <c:idx val="0"/>
          <c:order val="0"/>
          <c:tx>
            <c:strRef>
              <c:f>Sheet1!$A$4</c:f>
              <c:strCache>
                <c:ptCount val="1"/>
                <c:pt idx="0">
                  <c:v>Actual CT</c:v>
                </c:pt>
              </c:strCache>
            </c:strRef>
          </c:tx>
          <c:spPr>
            <a:solidFill>
              <a:srgbClr val="3366FF"/>
            </a:solidFill>
            <a:ln w="12700">
              <a:solidFill>
                <a:srgbClr val="000000"/>
              </a:solidFill>
              <a:prstDash val="solid"/>
            </a:ln>
          </c:spPr>
          <c:invertIfNegative val="0"/>
          <c:cat>
            <c:strRef>
              <c:f>Sheet1!$B$3:$G$3</c:f>
              <c:strCache>
                <c:ptCount val="6"/>
                <c:pt idx="0">
                  <c:v>2013/14</c:v>
                </c:pt>
                <c:pt idx="1">
                  <c:v>2014/15</c:v>
                </c:pt>
                <c:pt idx="2">
                  <c:v>2015/16</c:v>
                </c:pt>
                <c:pt idx="3">
                  <c:v>2016/17</c:v>
                </c:pt>
                <c:pt idx="4">
                  <c:v>2017/18</c:v>
                </c:pt>
                <c:pt idx="5">
                  <c:v>2018/19</c:v>
                </c:pt>
              </c:strCache>
            </c:strRef>
          </c:cat>
          <c:val>
            <c:numRef>
              <c:f>Sheet1!$B$4:$G$4</c:f>
              <c:numCache>
                <c:formatCode>_(* #,##0.00_);_(* \(#,##0.00\);_(* "-"??_);_(@_)</c:formatCode>
                <c:ptCount val="6"/>
                <c:pt idx="0">
                  <c:v>120.46</c:v>
                </c:pt>
                <c:pt idx="1">
                  <c:v>122.86</c:v>
                </c:pt>
                <c:pt idx="2">
                  <c:v>127.16</c:v>
                </c:pt>
                <c:pt idx="3">
                  <c:v>131.61000000000001</c:v>
                </c:pt>
                <c:pt idx="4">
                  <c:v>136.21</c:v>
                </c:pt>
                <c:pt idx="5">
                  <c:v>140.97</c:v>
                </c:pt>
              </c:numCache>
            </c:numRef>
          </c:val>
        </c:ser>
        <c:ser>
          <c:idx val="1"/>
          <c:order val="1"/>
          <c:tx>
            <c:strRef>
              <c:f>Sheet1!$A$5</c:f>
              <c:strCache>
                <c:ptCount val="1"/>
                <c:pt idx="0">
                  <c:v>Underlying CT(Estimate)</c:v>
                </c:pt>
              </c:strCache>
            </c:strRef>
          </c:tx>
          <c:spPr>
            <a:solidFill>
              <a:srgbClr val="00FF00"/>
            </a:solidFill>
            <a:ln w="12700">
              <a:solidFill>
                <a:srgbClr val="000000"/>
              </a:solidFill>
              <a:prstDash val="solid"/>
            </a:ln>
          </c:spPr>
          <c:invertIfNegative val="0"/>
          <c:cat>
            <c:strRef>
              <c:f>Sheet1!$B$3:$G$3</c:f>
              <c:strCache>
                <c:ptCount val="6"/>
                <c:pt idx="0">
                  <c:v>2013/14</c:v>
                </c:pt>
                <c:pt idx="1">
                  <c:v>2014/15</c:v>
                </c:pt>
                <c:pt idx="2">
                  <c:v>2015/16</c:v>
                </c:pt>
                <c:pt idx="3">
                  <c:v>2016/17</c:v>
                </c:pt>
                <c:pt idx="4">
                  <c:v>2017/18</c:v>
                </c:pt>
                <c:pt idx="5">
                  <c:v>2018/19</c:v>
                </c:pt>
              </c:strCache>
            </c:strRef>
          </c:cat>
          <c:val>
            <c:numRef>
              <c:f>Sheet1!$B$5:$G$5</c:f>
              <c:numCache>
                <c:formatCode>_(* #,##0.00_);_(* \(#,##0.00\);_(* "-"??_);_(@_)</c:formatCode>
                <c:ptCount val="6"/>
                <c:pt idx="0">
                  <c:v>128.38999999999999</c:v>
                </c:pt>
                <c:pt idx="1">
                  <c:v>127.43</c:v>
                </c:pt>
                <c:pt idx="2">
                  <c:v>126.38</c:v>
                </c:pt>
                <c:pt idx="3">
                  <c:v>145.58000000000001</c:v>
                </c:pt>
                <c:pt idx="4">
                  <c:v>160.28</c:v>
                </c:pt>
                <c:pt idx="5">
                  <c:v>172.78</c:v>
                </c:pt>
              </c:numCache>
            </c:numRef>
          </c:val>
        </c:ser>
        <c:dLbls>
          <c:showLegendKey val="0"/>
          <c:showVal val="0"/>
          <c:showCatName val="0"/>
          <c:showSerName val="0"/>
          <c:showPercent val="0"/>
          <c:showBubbleSize val="0"/>
        </c:dLbls>
        <c:gapWidth val="150"/>
        <c:shape val="box"/>
        <c:axId val="300794624"/>
        <c:axId val="300796160"/>
        <c:axId val="0"/>
      </c:bar3DChart>
      <c:catAx>
        <c:axId val="300794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796160"/>
        <c:crosses val="autoZero"/>
        <c:auto val="1"/>
        <c:lblAlgn val="ctr"/>
        <c:lblOffset val="100"/>
        <c:tickLblSkip val="1"/>
        <c:tickMarkSkip val="1"/>
        <c:noMultiLvlLbl val="0"/>
      </c:catAx>
      <c:valAx>
        <c:axId val="300796160"/>
        <c:scaling>
          <c:orientation val="minMax"/>
        </c:scaling>
        <c:delete val="0"/>
        <c:axPos val="l"/>
        <c:majorGridlines>
          <c:spPr>
            <a:ln w="3175">
              <a:solidFill>
                <a:srgbClr val="000000"/>
              </a:solidFill>
              <a:prstDash val="solid"/>
            </a:ln>
          </c:spPr>
        </c:majorGridlines>
        <c:title>
          <c:tx>
            <c:rich>
              <a:bodyPr rot="0" vert="horz"/>
              <a:lstStyle/>
              <a:p>
                <a:pPr algn="ctr">
                  <a:defRPr sz="975" b="1" i="0" u="none" strike="noStrike" baseline="0">
                    <a:solidFill>
                      <a:srgbClr val="000000"/>
                    </a:solidFill>
                    <a:latin typeface="Arial"/>
                    <a:ea typeface="Arial"/>
                    <a:cs typeface="Arial"/>
                  </a:defRPr>
                </a:pPr>
                <a:r>
                  <a:rPr lang="en-GB"/>
                  <a:t>£</a:t>
                </a:r>
              </a:p>
            </c:rich>
          </c:tx>
          <c:layout>
            <c:manualLayout>
              <c:xMode val="edge"/>
              <c:yMode val="edge"/>
              <c:x val="1.2173976178288918E-2"/>
              <c:y val="0.39068259324727267"/>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00794624"/>
        <c:crosses val="autoZero"/>
        <c:crossBetween val="between"/>
      </c:valAx>
      <c:spPr>
        <a:noFill/>
        <a:ln w="25400">
          <a:noFill/>
        </a:ln>
      </c:spPr>
    </c:plotArea>
    <c:legend>
      <c:legendPos val="r"/>
      <c:layout>
        <c:manualLayout>
          <c:xMode val="edge"/>
          <c:yMode val="edge"/>
          <c:x val="0.74093900088215114"/>
          <c:y val="0.31506918778009896"/>
          <c:w val="0.21735390959947432"/>
          <c:h val="0.254824932597711"/>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0.20317</cdr:x>
      <cdr:y>0.10452</cdr:y>
    </cdr:from>
    <cdr:to>
      <cdr:x>0.32376</cdr:x>
      <cdr:y>0.16612</cdr:y>
    </cdr:to>
    <cdr:sp macro="" textlink="">
      <cdr:nvSpPr>
        <cdr:cNvPr id="2049" name="Text Box 1"/>
        <cdr:cNvSpPr txBox="1">
          <a:spLocks xmlns:a="http://schemas.openxmlformats.org/drawingml/2006/main" noChangeArrowheads="1"/>
        </cdr:cNvSpPr>
      </cdr:nvSpPr>
      <cdr:spPr bwMode="auto">
        <a:xfrm xmlns:a="http://schemas.openxmlformats.org/drawingml/2006/main">
          <a:off x="988884" y="294696"/>
          <a:ext cx="586945" cy="1736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850" b="0" i="0" u="none" strike="noStrike" baseline="0">
              <a:solidFill>
                <a:srgbClr val="000000"/>
              </a:solidFill>
              <a:latin typeface="Arial"/>
              <a:cs typeface="Arial"/>
            </a:rPr>
            <a:t> £</a:t>
          </a:r>
          <a:r>
            <a:rPr lang="en-GB" sz="900" b="0" i="0" u="none" strike="noStrike" baseline="0">
              <a:solidFill>
                <a:srgbClr val="000000"/>
              </a:solidFill>
              <a:latin typeface="Arial"/>
              <a:cs typeface="Arial"/>
            </a:rPr>
            <a:t>1,536.27</a:t>
          </a:r>
          <a:endParaRPr lang="en-GB" sz="900"/>
        </a:p>
      </cdr:txBody>
    </cdr:sp>
  </cdr:relSizeAnchor>
  <cdr:relSizeAnchor xmlns:cdr="http://schemas.openxmlformats.org/drawingml/2006/chartDrawing">
    <cdr:from>
      <cdr:x>0.43553</cdr:x>
      <cdr:y>0.10453</cdr:y>
    </cdr:from>
    <cdr:to>
      <cdr:x>0.5527</cdr:x>
      <cdr:y>0.1654</cdr:y>
    </cdr:to>
    <cdr:sp macro="" textlink="">
      <cdr:nvSpPr>
        <cdr:cNvPr id="2050" name="Text Box 2"/>
        <cdr:cNvSpPr txBox="1">
          <a:spLocks xmlns:a="http://schemas.openxmlformats.org/drawingml/2006/main" noChangeArrowheads="1"/>
        </cdr:cNvSpPr>
      </cdr:nvSpPr>
      <cdr:spPr bwMode="auto">
        <a:xfrm xmlns:a="http://schemas.openxmlformats.org/drawingml/2006/main">
          <a:off x="2119865" y="294700"/>
          <a:ext cx="570279" cy="1716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850" b="0" i="0" u="none" strike="noStrike" baseline="0">
              <a:solidFill>
                <a:srgbClr val="000000"/>
              </a:solidFill>
              <a:latin typeface="Arial"/>
              <a:cs typeface="Arial"/>
            </a:rPr>
            <a:t>£</a:t>
          </a:r>
          <a:r>
            <a:rPr lang="en-GB" sz="900" b="0" i="0" u="none" strike="noStrike" baseline="0">
              <a:solidFill>
                <a:srgbClr val="000000"/>
              </a:solidFill>
              <a:latin typeface="Arial"/>
              <a:cs typeface="Arial"/>
            </a:rPr>
            <a:t>1,542.87   </a:t>
          </a:r>
          <a:r>
            <a:rPr lang="en-GB" sz="850" b="0" i="0" u="none" strike="noStrike" baseline="0">
              <a:solidFill>
                <a:srgbClr val="000000"/>
              </a:solidFill>
              <a:latin typeface="Arial"/>
              <a:cs typeface="Arial"/>
            </a:rPr>
            <a:t>£1,464.70</a:t>
          </a:r>
        </a:p>
        <a:p xmlns:a="http://schemas.openxmlformats.org/drawingml/2006/main">
          <a:pPr algn="l" rtl="0">
            <a:defRPr sz="1000"/>
          </a:pPr>
          <a:endParaRPr lang="en-GB" sz="850" b="0" i="0" u="none" strike="noStrike" baseline="0">
            <a:solidFill>
              <a:srgbClr val="000000"/>
            </a:solidFill>
            <a:latin typeface="Arial"/>
            <a:cs typeface="Arial"/>
          </a:endParaRPr>
        </a:p>
        <a:p xmlns:a="http://schemas.openxmlformats.org/drawingml/2006/main">
          <a:pPr algn="l" rtl="0">
            <a:defRPr sz="1000"/>
          </a:pPr>
          <a:r>
            <a:rPr lang="en-GB" sz="850" b="0" i="0" u="none" strike="noStrike" baseline="0">
              <a:solidFill>
                <a:srgbClr val="000000"/>
              </a:solidFill>
              <a:latin typeface="Arial"/>
              <a:cs typeface="Arial"/>
            </a:rPr>
            <a:t>1,303.01</a:t>
          </a:r>
        </a:p>
        <a:p xmlns:a="http://schemas.openxmlformats.org/drawingml/2006/main">
          <a:pPr algn="l" rtl="0">
            <a:defRPr sz="1000"/>
          </a:pPr>
          <a:r>
            <a:rPr lang="en-GB" sz="850" b="0" i="0" u="none" strike="noStrike" baseline="0">
              <a:solidFill>
                <a:srgbClr val="000000"/>
              </a:solidFill>
              <a:latin typeface="Arial"/>
              <a:cs typeface="Arial"/>
            </a:rPr>
            <a:t>1,303.01</a:t>
          </a:r>
          <a:endParaRPr lang="en-GB"/>
        </a:p>
      </cdr:txBody>
    </cdr:sp>
  </cdr:relSizeAnchor>
  <cdr:relSizeAnchor xmlns:cdr="http://schemas.openxmlformats.org/drawingml/2006/chartDrawing">
    <cdr:from>
      <cdr:x>0.65753</cdr:x>
      <cdr:y>0.03378</cdr:y>
    </cdr:from>
    <cdr:to>
      <cdr:x>0.79414</cdr:x>
      <cdr:y>0.1429</cdr:y>
    </cdr:to>
    <cdr:sp macro="" textlink="">
      <cdr:nvSpPr>
        <cdr:cNvPr id="2051" name="Text Box 3"/>
        <cdr:cNvSpPr txBox="1">
          <a:spLocks xmlns:a="http://schemas.openxmlformats.org/drawingml/2006/main" noChangeArrowheads="1"/>
        </cdr:cNvSpPr>
      </cdr:nvSpPr>
      <cdr:spPr bwMode="auto">
        <a:xfrm xmlns:a="http://schemas.openxmlformats.org/drawingml/2006/main">
          <a:off x="3200400" y="95251"/>
          <a:ext cx="664901" cy="3076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850" b="0" i="0" u="none" strike="noStrike" baseline="0">
              <a:solidFill>
                <a:srgbClr val="000000"/>
              </a:solidFill>
              <a:latin typeface="Arial"/>
              <a:cs typeface="Arial"/>
            </a:rPr>
            <a:t>£</a:t>
          </a:r>
          <a:r>
            <a:rPr lang="en-GB" sz="900" b="0" i="0" u="none" strike="noStrike" baseline="0">
              <a:solidFill>
                <a:srgbClr val="000000"/>
              </a:solidFill>
              <a:latin typeface="Arial"/>
              <a:cs typeface="Arial"/>
            </a:rPr>
            <a:t>1,692.42</a:t>
          </a:r>
        </a:p>
        <a:p xmlns:a="http://schemas.openxmlformats.org/drawingml/2006/main">
          <a:pPr algn="l" rtl="0">
            <a:defRPr sz="1000"/>
          </a:pPr>
          <a:endParaRPr lang="en-GB"/>
        </a:p>
      </cdr:txBody>
    </cdr:sp>
  </cdr:relSizeAnchor>
  <cdr:relSizeAnchor xmlns:cdr="http://schemas.openxmlformats.org/drawingml/2006/chartDrawing">
    <cdr:from>
      <cdr:x>0.00977</cdr:x>
      <cdr:y>0.01684</cdr:y>
    </cdr:from>
    <cdr:to>
      <cdr:x>0.1284</cdr:x>
      <cdr:y>0.16034</cdr:y>
    </cdr:to>
    <cdr:sp macro="" textlink="">
      <cdr:nvSpPr>
        <cdr:cNvPr id="2052" name="Text Box 4"/>
        <cdr:cNvSpPr txBox="1">
          <a:spLocks xmlns:a="http://schemas.openxmlformats.org/drawingml/2006/main" noChangeArrowheads="1"/>
        </cdr:cNvSpPr>
      </cdr:nvSpPr>
      <cdr:spPr bwMode="auto">
        <a:xfrm xmlns:a="http://schemas.openxmlformats.org/drawingml/2006/main">
          <a:off x="50800" y="50800"/>
          <a:ext cx="578568" cy="4059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68AA-A901-41AA-91C2-D308181E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98</Pages>
  <Words>20281</Words>
  <Characters>115605</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SCAMBS</Company>
  <LinksUpToDate>false</LinksUpToDate>
  <CharactersWithSpaces>135615</CharactersWithSpaces>
  <SharedDoc>false</SharedDoc>
  <HLinks>
    <vt:vector size="12" baseType="variant">
      <vt:variant>
        <vt:i4>1310726</vt:i4>
      </vt:variant>
      <vt:variant>
        <vt:i4>9</vt:i4>
      </vt:variant>
      <vt:variant>
        <vt:i4>0</vt:i4>
      </vt:variant>
      <vt:variant>
        <vt:i4>5</vt:i4>
      </vt:variant>
      <vt:variant>
        <vt:lpwstr>http://www.scambs.gov.uk/CouncilAndDemocracy/CorporatePriorities/Corpplan.htm</vt:lpwstr>
      </vt:variant>
      <vt:variant>
        <vt:lpwstr/>
      </vt:variant>
      <vt:variant>
        <vt:i4>6225993</vt:i4>
      </vt:variant>
      <vt:variant>
        <vt:i4>0</vt:i4>
      </vt:variant>
      <vt:variant>
        <vt:i4>0</vt:i4>
      </vt:variant>
      <vt:variant>
        <vt:i4>5</vt:i4>
      </vt:variant>
      <vt:variant>
        <vt:lpwstr>http://www.scambs.gov.uk/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Sally Smart</dc:creator>
  <cp:keywords/>
  <dc:description/>
  <cp:lastModifiedBy>Constant Sonia</cp:lastModifiedBy>
  <cp:revision>6</cp:revision>
  <cp:lastPrinted>2014-09-25T14:49:00Z</cp:lastPrinted>
  <dcterms:created xsi:type="dcterms:W3CDTF">2014-09-17T15:56:00Z</dcterms:created>
  <dcterms:modified xsi:type="dcterms:W3CDTF">2014-09-30T16:12:00Z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NOT PROTECTIVELY MARKED</vt:lpwstr>
  </property>
  <property fmtid="{D5CDD505-2E9C-101B-9397-08002B2CF9AE}" pid="3" name="Additional Descriptor">
    <vt:lpwstr/>
  </property>
  <property fmtid="{D5CDD505-2E9C-101B-9397-08002B2CF9AE}" pid="4" name="Impact Level">
    <vt:i4>0</vt:i4>
  </property>
</Properties>
</file>