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E312" w14:textId="77777777" w:rsidR="00DA55E2" w:rsidRDefault="003C6E04" w:rsidP="002D674C">
      <w:pPr>
        <w:pStyle w:val="Title"/>
      </w:pPr>
      <w:r w:rsidRPr="00CC436B">
        <w:rPr>
          <w:noProof/>
          <w:lang w:eastAsia="en-GB"/>
        </w:rPr>
        <w:drawing>
          <wp:anchor distT="0" distB="0" distL="114300" distR="114300" simplePos="0" relativeHeight="251658240" behindDoc="0" locked="0" layoutInCell="1" allowOverlap="1" wp14:anchorId="44EF1FAC" wp14:editId="2A6369A6">
            <wp:simplePos x="0" y="0"/>
            <wp:positionH relativeFrom="column">
              <wp:posOffset>6734175</wp:posOffset>
            </wp:positionH>
            <wp:positionV relativeFrom="paragraph">
              <wp:posOffset>-533400</wp:posOffset>
            </wp:positionV>
            <wp:extent cx="2192020" cy="1076325"/>
            <wp:effectExtent l="0" t="0" r="0" b="9525"/>
            <wp:wrapSquare wrapText="bothSides"/>
            <wp:docPr id="1" name="Picture 1" descr="SCDC Logo Li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C Logo Line [Conver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202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5E2">
        <w:t>Appendix 2</w:t>
      </w:r>
    </w:p>
    <w:p w14:paraId="52E07370" w14:textId="16CF5A7B" w:rsidR="00E92D95" w:rsidRPr="00CC436B" w:rsidRDefault="00CF62AF" w:rsidP="00CC436B">
      <w:pPr>
        <w:pStyle w:val="Heading1"/>
        <w:rPr>
          <w:rFonts w:ascii="Arial" w:hAnsi="Arial" w:cs="Arial"/>
          <w:sz w:val="28"/>
          <w:szCs w:val="28"/>
        </w:rPr>
      </w:pPr>
      <w:r w:rsidRPr="00CC436B">
        <w:rPr>
          <w:rFonts w:ascii="Arial" w:hAnsi="Arial" w:cs="Arial"/>
          <w:sz w:val="28"/>
          <w:szCs w:val="28"/>
        </w:rPr>
        <w:t xml:space="preserve">Basic Conditions </w:t>
      </w:r>
      <w:r w:rsidR="00995FCE" w:rsidRPr="00CC436B">
        <w:rPr>
          <w:rFonts w:ascii="Arial" w:hAnsi="Arial" w:cs="Arial"/>
          <w:sz w:val="28"/>
          <w:szCs w:val="28"/>
        </w:rPr>
        <w:t xml:space="preserve">Check – </w:t>
      </w:r>
      <w:r w:rsidR="00804555" w:rsidRPr="00CC436B">
        <w:rPr>
          <w:rFonts w:ascii="Arial" w:hAnsi="Arial" w:cs="Arial"/>
          <w:sz w:val="28"/>
          <w:szCs w:val="28"/>
        </w:rPr>
        <w:t>made (adopted)</w:t>
      </w:r>
      <w:r w:rsidR="00995FCE" w:rsidRPr="00CC436B">
        <w:rPr>
          <w:rFonts w:ascii="Arial" w:hAnsi="Arial" w:cs="Arial"/>
          <w:sz w:val="28"/>
          <w:szCs w:val="28"/>
        </w:rPr>
        <w:t xml:space="preserve"> Neighbourhood Plan</w:t>
      </w:r>
    </w:p>
    <w:p w14:paraId="07B96E07" w14:textId="77777777" w:rsidR="00995FCE" w:rsidRPr="00CC436B" w:rsidRDefault="00995FCE" w:rsidP="00CC436B">
      <w:pPr>
        <w:pStyle w:val="Heading2"/>
        <w:rPr>
          <w:rFonts w:ascii="Arial" w:hAnsi="Arial" w:cs="Arial"/>
        </w:rPr>
      </w:pPr>
    </w:p>
    <w:p w14:paraId="6FBEA9F4" w14:textId="3D2AC78F" w:rsidR="00995FCE" w:rsidRPr="00CC436B" w:rsidRDefault="00352052" w:rsidP="00CC436B">
      <w:pPr>
        <w:pStyle w:val="Heading2"/>
        <w:rPr>
          <w:rFonts w:ascii="Arial" w:hAnsi="Arial" w:cs="Arial"/>
        </w:rPr>
      </w:pPr>
      <w:r w:rsidRPr="00CC436B">
        <w:rPr>
          <w:rFonts w:ascii="Arial" w:hAnsi="Arial" w:cs="Arial"/>
        </w:rPr>
        <w:t>Cottenham</w:t>
      </w:r>
      <w:r w:rsidR="00995FCE" w:rsidRPr="00CC436B">
        <w:rPr>
          <w:rFonts w:ascii="Arial" w:hAnsi="Arial" w:cs="Arial"/>
        </w:rPr>
        <w:t xml:space="preserve"> Neighbourhood Plan – </w:t>
      </w:r>
      <w:r w:rsidR="00BD1856">
        <w:rPr>
          <w:rFonts w:ascii="Arial" w:hAnsi="Arial" w:cs="Arial"/>
        </w:rPr>
        <w:t xml:space="preserve">March 2020 / </w:t>
      </w:r>
      <w:r w:rsidR="00BD1856" w:rsidRPr="00234D41">
        <w:rPr>
          <w:rFonts w:ascii="Arial" w:hAnsi="Arial" w:cs="Arial"/>
        </w:rPr>
        <w:t xml:space="preserve">reviewed </w:t>
      </w:r>
      <w:r w:rsidR="00280B08" w:rsidRPr="00234D41">
        <w:rPr>
          <w:rFonts w:ascii="Arial" w:hAnsi="Arial" w:cs="Arial"/>
        </w:rPr>
        <w:t>May 2021</w:t>
      </w:r>
    </w:p>
    <w:p w14:paraId="008AE450" w14:textId="77777777" w:rsidR="00CF62AF" w:rsidRDefault="00CF62AF" w:rsidP="00CF62AF">
      <w:pPr>
        <w:rPr>
          <w:b/>
        </w:rPr>
      </w:pPr>
    </w:p>
    <w:tbl>
      <w:tblPr>
        <w:tblStyle w:val="TableGrid"/>
        <w:tblW w:w="0" w:type="auto"/>
        <w:tblLook w:val="04A0" w:firstRow="1" w:lastRow="0" w:firstColumn="1" w:lastColumn="0" w:noHBand="0" w:noVBand="1"/>
      </w:tblPr>
      <w:tblGrid>
        <w:gridCol w:w="5637"/>
        <w:gridCol w:w="6378"/>
        <w:gridCol w:w="2159"/>
      </w:tblGrid>
      <w:tr w:rsidR="00CF62AF" w:rsidRPr="00CC436B" w14:paraId="57B30BFB" w14:textId="77777777" w:rsidTr="002F0786">
        <w:trPr>
          <w:tblHeader/>
        </w:trPr>
        <w:tc>
          <w:tcPr>
            <w:tcW w:w="5637" w:type="dxa"/>
            <w:shd w:val="clear" w:color="auto" w:fill="BFBFBF" w:themeFill="background1" w:themeFillShade="BF"/>
          </w:tcPr>
          <w:p w14:paraId="6B658F7A" w14:textId="77777777" w:rsidR="00CF62AF" w:rsidRPr="00CC436B" w:rsidRDefault="00CF62AF" w:rsidP="00CF62AF">
            <w:pPr>
              <w:rPr>
                <w:b/>
                <w:sz w:val="24"/>
                <w:szCs w:val="24"/>
              </w:rPr>
            </w:pPr>
            <w:r w:rsidRPr="00CC436B">
              <w:rPr>
                <w:b/>
                <w:sz w:val="24"/>
                <w:szCs w:val="24"/>
              </w:rPr>
              <w:t>Requirements</w:t>
            </w:r>
          </w:p>
        </w:tc>
        <w:tc>
          <w:tcPr>
            <w:tcW w:w="6378" w:type="dxa"/>
            <w:shd w:val="clear" w:color="auto" w:fill="BFBFBF" w:themeFill="background1" w:themeFillShade="BF"/>
          </w:tcPr>
          <w:p w14:paraId="323E20ED" w14:textId="77777777" w:rsidR="00CF62AF" w:rsidRPr="00CC436B" w:rsidRDefault="00CF62AF" w:rsidP="002F0786">
            <w:pPr>
              <w:rPr>
                <w:b/>
                <w:sz w:val="24"/>
                <w:szCs w:val="24"/>
              </w:rPr>
            </w:pPr>
            <w:r w:rsidRPr="00CC436B">
              <w:rPr>
                <w:b/>
                <w:sz w:val="24"/>
                <w:szCs w:val="24"/>
              </w:rPr>
              <w:t>Local Planning Authority Comments</w:t>
            </w:r>
          </w:p>
        </w:tc>
        <w:tc>
          <w:tcPr>
            <w:tcW w:w="2159" w:type="dxa"/>
            <w:shd w:val="clear" w:color="auto" w:fill="BFBFBF" w:themeFill="background1" w:themeFillShade="BF"/>
          </w:tcPr>
          <w:p w14:paraId="1481EECE" w14:textId="77777777" w:rsidR="00CF62AF" w:rsidRPr="00CC436B" w:rsidRDefault="00CF62AF" w:rsidP="002F0786">
            <w:pPr>
              <w:rPr>
                <w:b/>
                <w:sz w:val="24"/>
                <w:szCs w:val="24"/>
              </w:rPr>
            </w:pPr>
            <w:r w:rsidRPr="00CC436B">
              <w:rPr>
                <w:b/>
                <w:sz w:val="24"/>
                <w:szCs w:val="24"/>
              </w:rPr>
              <w:t>Basic Condition met?</w:t>
            </w:r>
          </w:p>
        </w:tc>
      </w:tr>
      <w:tr w:rsidR="00CF62AF" w:rsidRPr="00CC436B" w14:paraId="46CBAB80" w14:textId="77777777" w:rsidTr="002F0786">
        <w:tc>
          <w:tcPr>
            <w:tcW w:w="5637" w:type="dxa"/>
          </w:tcPr>
          <w:p w14:paraId="0ADF9067" w14:textId="77777777" w:rsidR="00CF62AF" w:rsidRPr="00CC436B" w:rsidRDefault="00CF62AF" w:rsidP="00CF62AF">
            <w:pPr>
              <w:outlineLvl w:val="0"/>
              <w:rPr>
                <w:rFonts w:cs="Arial"/>
                <w:sz w:val="24"/>
                <w:szCs w:val="24"/>
              </w:rPr>
            </w:pPr>
            <w:r w:rsidRPr="00CC436B">
              <w:rPr>
                <w:rFonts w:cs="Arial"/>
                <w:sz w:val="24"/>
                <w:szCs w:val="24"/>
              </w:rPr>
              <w:t>The Neighbourhood Plan has regard to national policies and advice contained in guidance issued by the Secretary of State and it is appropriate to make the Neighbourhood Plan.</w:t>
            </w:r>
          </w:p>
        </w:tc>
        <w:tc>
          <w:tcPr>
            <w:tcW w:w="6378" w:type="dxa"/>
          </w:tcPr>
          <w:p w14:paraId="3DB36854" w14:textId="0AA25249" w:rsidR="00CF62AF" w:rsidRPr="00CC436B" w:rsidRDefault="00CF62AF" w:rsidP="00CF62AF">
            <w:pPr>
              <w:rPr>
                <w:sz w:val="24"/>
                <w:szCs w:val="24"/>
              </w:rPr>
            </w:pPr>
            <w:r w:rsidRPr="00CC436B">
              <w:rPr>
                <w:sz w:val="24"/>
                <w:szCs w:val="24"/>
              </w:rPr>
              <w:t>The Council considers that the Neighbourhood Plan is consistent with national policies and advice in that the core land use planning principles set out in the National Planning Policy Framework (NPPF, 2012)</w:t>
            </w:r>
            <w:r w:rsidR="002D0864" w:rsidRPr="00CC436B">
              <w:rPr>
                <w:rStyle w:val="FootnoteReference"/>
                <w:sz w:val="24"/>
                <w:szCs w:val="24"/>
              </w:rPr>
              <w:footnoteReference w:id="2"/>
            </w:r>
            <w:r w:rsidRPr="00CC436B">
              <w:rPr>
                <w:sz w:val="24"/>
                <w:szCs w:val="24"/>
              </w:rPr>
              <w:t xml:space="preserve"> have been embodied in the Neighbourhood Plan. </w:t>
            </w:r>
          </w:p>
          <w:p w14:paraId="5F29AAB8" w14:textId="77777777" w:rsidR="00A11D1D" w:rsidRPr="00CC436B" w:rsidRDefault="00A11D1D" w:rsidP="00804555">
            <w:pPr>
              <w:rPr>
                <w:sz w:val="24"/>
                <w:szCs w:val="24"/>
              </w:rPr>
            </w:pPr>
          </w:p>
          <w:p w14:paraId="340049F7" w14:textId="7D80238E" w:rsidR="00A11D1D" w:rsidRPr="00CC436B" w:rsidRDefault="00A11D1D" w:rsidP="00804555">
            <w:pPr>
              <w:rPr>
                <w:sz w:val="24"/>
                <w:szCs w:val="24"/>
              </w:rPr>
            </w:pPr>
            <w:r w:rsidRPr="00CC436B">
              <w:rPr>
                <w:sz w:val="24"/>
                <w:szCs w:val="24"/>
              </w:rPr>
              <w:t>T</w:t>
            </w:r>
            <w:r w:rsidR="00871C41" w:rsidRPr="00CC436B">
              <w:rPr>
                <w:sz w:val="24"/>
                <w:szCs w:val="24"/>
              </w:rPr>
              <w:t>he examiner</w:t>
            </w:r>
            <w:r w:rsidR="002574C6" w:rsidRPr="00CC436B">
              <w:rPr>
                <w:sz w:val="24"/>
                <w:szCs w:val="24"/>
              </w:rPr>
              <w:t xml:space="preserve"> for Cottenham Neighbourhood Plan in his</w:t>
            </w:r>
            <w:r w:rsidR="00B838E5" w:rsidRPr="00CC436B">
              <w:rPr>
                <w:sz w:val="24"/>
                <w:szCs w:val="24"/>
              </w:rPr>
              <w:t xml:space="preserve"> report</w:t>
            </w:r>
            <w:r w:rsidR="00871C41" w:rsidRPr="00CC436B">
              <w:rPr>
                <w:rStyle w:val="FootnoteReference"/>
                <w:sz w:val="24"/>
                <w:szCs w:val="24"/>
              </w:rPr>
              <w:footnoteReference w:id="3"/>
            </w:r>
            <w:r w:rsidR="00871C41" w:rsidRPr="00CC436B">
              <w:rPr>
                <w:sz w:val="24"/>
                <w:szCs w:val="24"/>
              </w:rPr>
              <w:t xml:space="preserve"> </w:t>
            </w:r>
            <w:r w:rsidR="00FB0533" w:rsidRPr="00CC436B">
              <w:rPr>
                <w:sz w:val="24"/>
                <w:szCs w:val="24"/>
              </w:rPr>
              <w:t xml:space="preserve">states </w:t>
            </w:r>
            <w:r w:rsidR="00871C41" w:rsidRPr="00CC436B">
              <w:rPr>
                <w:sz w:val="24"/>
                <w:szCs w:val="24"/>
              </w:rPr>
              <w:t>that</w:t>
            </w:r>
            <w:r w:rsidR="000808E6" w:rsidRPr="00CC436B">
              <w:rPr>
                <w:sz w:val="24"/>
                <w:szCs w:val="24"/>
              </w:rPr>
              <w:t xml:space="preserve"> the Neighbourhood Plan has had regard to national planning policies and guidance, in that </w:t>
            </w:r>
            <w:r w:rsidRPr="00CC436B">
              <w:rPr>
                <w:sz w:val="24"/>
                <w:szCs w:val="24"/>
              </w:rPr>
              <w:t xml:space="preserve">it sets out a positive vision for the future of the neighbourhood area within the context of its status within the development strategy in the Local Plan. In particular it seeks to respond positively to changing circumstances with regard to recent planning permissions for residential development. The Basic Conditions Statement maps the </w:t>
            </w:r>
            <w:r w:rsidRPr="00CC436B">
              <w:rPr>
                <w:sz w:val="24"/>
                <w:szCs w:val="24"/>
              </w:rPr>
              <w:lastRenderedPageBreak/>
              <w:t>policies in the Plan against the appropriate sections of the National Planning Policy Framework.</w:t>
            </w:r>
          </w:p>
          <w:p w14:paraId="5FC57F68" w14:textId="77777777" w:rsidR="00A11D1D" w:rsidRPr="00CC436B" w:rsidRDefault="00A11D1D" w:rsidP="00804555">
            <w:pPr>
              <w:rPr>
                <w:sz w:val="24"/>
                <w:szCs w:val="24"/>
              </w:rPr>
            </w:pPr>
          </w:p>
          <w:p w14:paraId="06809E09" w14:textId="77777777" w:rsidR="00B12AD0" w:rsidRPr="00CC436B" w:rsidRDefault="000808E6" w:rsidP="00804555">
            <w:pPr>
              <w:rPr>
                <w:sz w:val="24"/>
                <w:szCs w:val="24"/>
              </w:rPr>
            </w:pPr>
            <w:r w:rsidRPr="00CC436B">
              <w:rPr>
                <w:sz w:val="24"/>
                <w:szCs w:val="24"/>
              </w:rPr>
              <w:t xml:space="preserve">The examiner has recommended a series of modifications to provide clarity and precision to the policies to ensure that the Neighbourhood Plan fully accords with national policy and guidance. SCDC and </w:t>
            </w:r>
            <w:r w:rsidR="00A11D1D" w:rsidRPr="00CC436B">
              <w:rPr>
                <w:sz w:val="24"/>
                <w:szCs w:val="24"/>
              </w:rPr>
              <w:t>Cottenham</w:t>
            </w:r>
            <w:r w:rsidRPr="00CC436B">
              <w:rPr>
                <w:sz w:val="24"/>
                <w:szCs w:val="24"/>
              </w:rPr>
              <w:t xml:space="preserve"> Parish Council</w:t>
            </w:r>
            <w:r w:rsidR="00185389" w:rsidRPr="00CC436B">
              <w:rPr>
                <w:sz w:val="24"/>
                <w:szCs w:val="24"/>
              </w:rPr>
              <w:t xml:space="preserve"> have agreed each of the recommended modifications</w:t>
            </w:r>
            <w:r w:rsidRPr="00CC436B">
              <w:rPr>
                <w:sz w:val="24"/>
                <w:szCs w:val="24"/>
              </w:rPr>
              <w:t xml:space="preserve"> and </w:t>
            </w:r>
            <w:r w:rsidR="00185389" w:rsidRPr="00CC436B">
              <w:rPr>
                <w:sz w:val="24"/>
                <w:szCs w:val="24"/>
              </w:rPr>
              <w:t>the modifications are</w:t>
            </w:r>
            <w:r w:rsidRPr="00CC436B">
              <w:rPr>
                <w:sz w:val="24"/>
                <w:szCs w:val="24"/>
              </w:rPr>
              <w:t xml:space="preserve"> included in the </w:t>
            </w:r>
            <w:r w:rsidR="00804555" w:rsidRPr="00CC436B">
              <w:rPr>
                <w:sz w:val="24"/>
                <w:szCs w:val="24"/>
              </w:rPr>
              <w:t>‘made’ (adopted)</w:t>
            </w:r>
            <w:r w:rsidRPr="00CC436B">
              <w:rPr>
                <w:sz w:val="24"/>
                <w:szCs w:val="24"/>
              </w:rPr>
              <w:t xml:space="preserve"> version of the </w:t>
            </w:r>
          </w:p>
          <w:p w14:paraId="5EECDC9C" w14:textId="77777777" w:rsidR="00871C41" w:rsidRPr="00CC436B" w:rsidRDefault="000808E6" w:rsidP="00804555">
            <w:pPr>
              <w:rPr>
                <w:sz w:val="24"/>
                <w:szCs w:val="24"/>
              </w:rPr>
            </w:pPr>
            <w:r w:rsidRPr="00CC436B">
              <w:rPr>
                <w:sz w:val="24"/>
                <w:szCs w:val="24"/>
              </w:rPr>
              <w:t xml:space="preserve">Neighbourhood Plan. </w:t>
            </w:r>
          </w:p>
          <w:p w14:paraId="7FF413B6" w14:textId="70C5DB79" w:rsidR="00B12AD0" w:rsidRPr="00CC436B" w:rsidRDefault="00B12AD0" w:rsidP="00804555">
            <w:pPr>
              <w:rPr>
                <w:sz w:val="24"/>
                <w:szCs w:val="24"/>
              </w:rPr>
            </w:pPr>
          </w:p>
        </w:tc>
        <w:tc>
          <w:tcPr>
            <w:tcW w:w="2159" w:type="dxa"/>
          </w:tcPr>
          <w:p w14:paraId="51A5200E" w14:textId="77777777" w:rsidR="00CF62AF" w:rsidRPr="00CC436B" w:rsidRDefault="00CF62AF" w:rsidP="002F0786">
            <w:pPr>
              <w:rPr>
                <w:sz w:val="24"/>
                <w:szCs w:val="24"/>
              </w:rPr>
            </w:pPr>
            <w:r w:rsidRPr="00CC436B">
              <w:rPr>
                <w:sz w:val="24"/>
                <w:szCs w:val="24"/>
              </w:rPr>
              <w:lastRenderedPageBreak/>
              <w:t>Yes</w:t>
            </w:r>
          </w:p>
        </w:tc>
      </w:tr>
      <w:tr w:rsidR="00CF62AF" w:rsidRPr="00CC436B" w14:paraId="6FA8AE40" w14:textId="77777777" w:rsidTr="00185389">
        <w:trPr>
          <w:cantSplit/>
        </w:trPr>
        <w:tc>
          <w:tcPr>
            <w:tcW w:w="5637" w:type="dxa"/>
          </w:tcPr>
          <w:p w14:paraId="0E7F355B" w14:textId="77777777" w:rsidR="00CF62AF" w:rsidRPr="00CC436B" w:rsidRDefault="00CF62AF" w:rsidP="00CF62AF">
            <w:pPr>
              <w:outlineLvl w:val="0"/>
              <w:rPr>
                <w:sz w:val="24"/>
                <w:szCs w:val="24"/>
              </w:rPr>
            </w:pPr>
            <w:r w:rsidRPr="00CC436B">
              <w:rPr>
                <w:rFonts w:cs="Arial"/>
                <w:sz w:val="24"/>
                <w:szCs w:val="24"/>
              </w:rPr>
              <w:lastRenderedPageBreak/>
              <w:t>The making of the Neighbourhood Plan contributes to the achievement of sustainable development.</w:t>
            </w:r>
          </w:p>
        </w:tc>
        <w:tc>
          <w:tcPr>
            <w:tcW w:w="6378" w:type="dxa"/>
          </w:tcPr>
          <w:p w14:paraId="412E8E18" w14:textId="77777777" w:rsidR="00CF62AF" w:rsidRPr="00CC436B" w:rsidRDefault="00CF62AF" w:rsidP="00CF62AF">
            <w:pPr>
              <w:rPr>
                <w:sz w:val="24"/>
                <w:szCs w:val="24"/>
              </w:rPr>
            </w:pPr>
            <w:r w:rsidRPr="00CC436B">
              <w:rPr>
                <w:sz w:val="24"/>
                <w:szCs w:val="24"/>
              </w:rPr>
              <w:t>The Council considers that the Neighbourhood Plan contributes to the achievement of sustainable development, specifically by:</w:t>
            </w:r>
          </w:p>
          <w:p w14:paraId="39B8A0FB" w14:textId="77777777" w:rsidR="00CB5ABC" w:rsidRPr="00CC436B" w:rsidRDefault="00CB5ABC" w:rsidP="00CB5ABC">
            <w:pPr>
              <w:pStyle w:val="ListParagraph"/>
              <w:numPr>
                <w:ilvl w:val="0"/>
                <w:numId w:val="9"/>
              </w:numPr>
              <w:contextualSpacing w:val="0"/>
              <w:rPr>
                <w:sz w:val="24"/>
                <w:szCs w:val="24"/>
              </w:rPr>
            </w:pPr>
            <w:r w:rsidRPr="00CC436B">
              <w:rPr>
                <w:sz w:val="24"/>
                <w:szCs w:val="24"/>
              </w:rPr>
              <w:t xml:space="preserve">including policies for both housing and employment within the Plan;  </w:t>
            </w:r>
          </w:p>
          <w:p w14:paraId="7B04876F" w14:textId="77777777" w:rsidR="00CB5ABC" w:rsidRPr="00CC436B" w:rsidRDefault="00CB5ABC" w:rsidP="00CB5ABC">
            <w:pPr>
              <w:pStyle w:val="ListParagraph"/>
              <w:numPr>
                <w:ilvl w:val="0"/>
                <w:numId w:val="9"/>
              </w:numPr>
              <w:contextualSpacing w:val="0"/>
              <w:rPr>
                <w:sz w:val="24"/>
                <w:szCs w:val="24"/>
              </w:rPr>
            </w:pPr>
            <w:r w:rsidRPr="00CC436B">
              <w:rPr>
                <w:sz w:val="24"/>
                <w:szCs w:val="24"/>
              </w:rPr>
              <w:t>seeking to secure new community facilities through the Plan with policies for a new village hall, nursery and sports facilities and</w:t>
            </w:r>
          </w:p>
          <w:p w14:paraId="77CCADC0" w14:textId="77777777" w:rsidR="00CB5ABC" w:rsidRPr="00CC436B" w:rsidRDefault="00CB5ABC" w:rsidP="00CB5ABC">
            <w:pPr>
              <w:pStyle w:val="ListParagraph"/>
              <w:numPr>
                <w:ilvl w:val="0"/>
                <w:numId w:val="9"/>
              </w:numPr>
              <w:contextualSpacing w:val="0"/>
              <w:rPr>
                <w:sz w:val="24"/>
                <w:szCs w:val="24"/>
              </w:rPr>
            </w:pPr>
            <w:r w:rsidRPr="00CC436B">
              <w:rPr>
                <w:sz w:val="24"/>
                <w:szCs w:val="24"/>
              </w:rPr>
              <w:t>including policies for the protection of the natural, built and historic environment of the parish.</w:t>
            </w:r>
          </w:p>
          <w:p w14:paraId="60CC240D" w14:textId="77777777" w:rsidR="00523410" w:rsidRPr="00CC436B" w:rsidRDefault="00523410" w:rsidP="00523410">
            <w:pPr>
              <w:rPr>
                <w:sz w:val="24"/>
                <w:szCs w:val="24"/>
              </w:rPr>
            </w:pPr>
          </w:p>
          <w:p w14:paraId="6D60F251" w14:textId="77777777" w:rsidR="00523410" w:rsidRPr="00CC436B" w:rsidRDefault="00523410" w:rsidP="00FB0533">
            <w:pPr>
              <w:rPr>
                <w:sz w:val="24"/>
                <w:szCs w:val="24"/>
              </w:rPr>
            </w:pPr>
            <w:r w:rsidRPr="00CC436B">
              <w:rPr>
                <w:sz w:val="24"/>
                <w:szCs w:val="24"/>
              </w:rPr>
              <w:t>This conclusion is consistent with the examiner’s conclusion</w:t>
            </w:r>
            <w:r w:rsidR="00871C41" w:rsidRPr="00CC436B">
              <w:rPr>
                <w:rStyle w:val="FootnoteReference"/>
                <w:sz w:val="24"/>
                <w:szCs w:val="24"/>
              </w:rPr>
              <w:footnoteReference w:id="4"/>
            </w:r>
            <w:r w:rsidRPr="00CC436B">
              <w:rPr>
                <w:sz w:val="24"/>
                <w:szCs w:val="24"/>
              </w:rPr>
              <w:t xml:space="preserve"> that</w:t>
            </w:r>
            <w:r w:rsidR="00871C41" w:rsidRPr="00CC436B">
              <w:rPr>
                <w:sz w:val="24"/>
                <w:szCs w:val="24"/>
              </w:rPr>
              <w:t xml:space="preserve"> the Neighbourhood Plan has set </w:t>
            </w:r>
            <w:r w:rsidRPr="00CC436B">
              <w:rPr>
                <w:sz w:val="24"/>
                <w:szCs w:val="24"/>
              </w:rPr>
              <w:t>out to achieve sustainable development in the neighbourhood area</w:t>
            </w:r>
            <w:r w:rsidR="00FB0533" w:rsidRPr="00CC436B">
              <w:rPr>
                <w:sz w:val="24"/>
                <w:szCs w:val="24"/>
              </w:rPr>
              <w:t xml:space="preserve">. </w:t>
            </w:r>
          </w:p>
          <w:p w14:paraId="609049E4" w14:textId="77777777" w:rsidR="00CB5ABC" w:rsidRPr="00CC436B" w:rsidRDefault="00CB5ABC" w:rsidP="00CB5ABC">
            <w:pPr>
              <w:pStyle w:val="ListParagraph"/>
              <w:numPr>
                <w:ilvl w:val="0"/>
                <w:numId w:val="10"/>
              </w:numPr>
              <w:rPr>
                <w:sz w:val="24"/>
                <w:szCs w:val="24"/>
              </w:rPr>
            </w:pPr>
            <w:r w:rsidRPr="00CC436B">
              <w:rPr>
                <w:sz w:val="24"/>
                <w:szCs w:val="24"/>
              </w:rPr>
              <w:t xml:space="preserve">in the economic dimension through policies for housing and employment development (Policies COH/2-1 to 2-3 and COH/5.1 to 5.2 respectively) </w:t>
            </w:r>
          </w:p>
          <w:p w14:paraId="1A6FA205" w14:textId="774515A4" w:rsidR="00CB5ABC" w:rsidRPr="00CC436B" w:rsidRDefault="00CB5ABC" w:rsidP="00CB5ABC">
            <w:pPr>
              <w:pStyle w:val="ListParagraph"/>
              <w:numPr>
                <w:ilvl w:val="0"/>
                <w:numId w:val="10"/>
              </w:numPr>
              <w:rPr>
                <w:sz w:val="24"/>
                <w:szCs w:val="24"/>
              </w:rPr>
            </w:pPr>
            <w:r w:rsidRPr="00CC436B">
              <w:rPr>
                <w:sz w:val="24"/>
                <w:szCs w:val="24"/>
              </w:rPr>
              <w:t>in the social role it includes a policy on a village hall (Policy COH/4-2, a nursery (COH/4.3) and sports facilities (COH/4-4).</w:t>
            </w:r>
          </w:p>
          <w:p w14:paraId="041B8F10" w14:textId="47A76CC3" w:rsidR="00CB5ABC" w:rsidRPr="00CC436B" w:rsidRDefault="00CB5ABC" w:rsidP="00CB5ABC">
            <w:pPr>
              <w:pStyle w:val="ListParagraph"/>
              <w:numPr>
                <w:ilvl w:val="0"/>
                <w:numId w:val="10"/>
              </w:numPr>
              <w:rPr>
                <w:sz w:val="24"/>
                <w:szCs w:val="24"/>
              </w:rPr>
            </w:pPr>
            <w:r w:rsidRPr="00CC436B">
              <w:rPr>
                <w:sz w:val="24"/>
                <w:szCs w:val="24"/>
              </w:rPr>
              <w:t>in the environmental dimension the Plan seeks to protect its natural, built and historic environment. It has a specific batch of policies in the village character part of the Plan (Policies COH/1-1 to 1-8).</w:t>
            </w:r>
          </w:p>
        </w:tc>
        <w:tc>
          <w:tcPr>
            <w:tcW w:w="2159" w:type="dxa"/>
          </w:tcPr>
          <w:p w14:paraId="304C06AB" w14:textId="77777777" w:rsidR="00CF62AF" w:rsidRPr="00CC436B" w:rsidRDefault="00CF62AF" w:rsidP="002F0786">
            <w:pPr>
              <w:rPr>
                <w:sz w:val="24"/>
                <w:szCs w:val="24"/>
              </w:rPr>
            </w:pPr>
            <w:r w:rsidRPr="00CC436B">
              <w:rPr>
                <w:sz w:val="24"/>
                <w:szCs w:val="24"/>
              </w:rPr>
              <w:t>Yes</w:t>
            </w:r>
          </w:p>
        </w:tc>
      </w:tr>
      <w:tr w:rsidR="00CF62AF" w:rsidRPr="00CC436B" w14:paraId="1801BD56" w14:textId="77777777" w:rsidTr="002F0786">
        <w:tc>
          <w:tcPr>
            <w:tcW w:w="5637" w:type="dxa"/>
          </w:tcPr>
          <w:p w14:paraId="3531CF2D" w14:textId="77777777" w:rsidR="00CF62AF" w:rsidRPr="00CC436B" w:rsidRDefault="00CF62AF" w:rsidP="00CF62AF">
            <w:pPr>
              <w:outlineLvl w:val="0"/>
              <w:rPr>
                <w:sz w:val="24"/>
                <w:szCs w:val="24"/>
              </w:rPr>
            </w:pPr>
            <w:r w:rsidRPr="00CC436B">
              <w:rPr>
                <w:rFonts w:cs="Arial"/>
                <w:sz w:val="24"/>
                <w:szCs w:val="24"/>
              </w:rPr>
              <w:t xml:space="preserve">The Neighbourhood Plan is in general conformity with the strategic policies contained in the </w:t>
            </w:r>
            <w:r w:rsidRPr="00CC436B">
              <w:rPr>
                <w:rFonts w:cs="Arial"/>
                <w:sz w:val="24"/>
                <w:szCs w:val="24"/>
              </w:rPr>
              <w:lastRenderedPageBreak/>
              <w:t>development plan for the area.</w:t>
            </w:r>
          </w:p>
        </w:tc>
        <w:tc>
          <w:tcPr>
            <w:tcW w:w="6378" w:type="dxa"/>
          </w:tcPr>
          <w:p w14:paraId="52E5C9FD" w14:textId="6CB0D70A" w:rsidR="00CF62AF" w:rsidRPr="00CC436B" w:rsidRDefault="00CF62AF" w:rsidP="00CF62AF">
            <w:pPr>
              <w:rPr>
                <w:sz w:val="24"/>
                <w:szCs w:val="24"/>
              </w:rPr>
            </w:pPr>
            <w:r w:rsidRPr="00CC436B">
              <w:rPr>
                <w:sz w:val="24"/>
                <w:szCs w:val="24"/>
              </w:rPr>
              <w:lastRenderedPageBreak/>
              <w:t>The development plan for South Cambridgeshire consists of the adopted South Cambridgeshire Local Plan 2011-</w:t>
            </w:r>
            <w:r w:rsidRPr="00CC436B">
              <w:rPr>
                <w:sz w:val="24"/>
                <w:szCs w:val="24"/>
              </w:rPr>
              <w:lastRenderedPageBreak/>
              <w:t>2031</w:t>
            </w:r>
            <w:r w:rsidR="001F2856" w:rsidRPr="00CC436B">
              <w:rPr>
                <w:sz w:val="24"/>
                <w:szCs w:val="24"/>
              </w:rPr>
              <w:t xml:space="preserve">, and </w:t>
            </w:r>
            <w:r w:rsidRPr="00CC436B">
              <w:rPr>
                <w:sz w:val="24"/>
                <w:szCs w:val="24"/>
              </w:rPr>
              <w:t xml:space="preserve">a list of strategic policies is included in Appendix </w:t>
            </w:r>
            <w:r w:rsidR="00657E9F" w:rsidRPr="00CC436B">
              <w:rPr>
                <w:sz w:val="24"/>
                <w:szCs w:val="24"/>
              </w:rPr>
              <w:t>E</w:t>
            </w:r>
            <w:r w:rsidRPr="00CC436B">
              <w:rPr>
                <w:sz w:val="24"/>
                <w:szCs w:val="24"/>
              </w:rPr>
              <w:t xml:space="preserve"> of the Local Plan. The Basic Conditions Statement, submitted by </w:t>
            </w:r>
            <w:r w:rsidR="00FB0533" w:rsidRPr="00CC436B">
              <w:rPr>
                <w:sz w:val="24"/>
                <w:szCs w:val="24"/>
              </w:rPr>
              <w:t xml:space="preserve">Cottenham </w:t>
            </w:r>
            <w:r w:rsidRPr="00CC436B">
              <w:rPr>
                <w:sz w:val="24"/>
                <w:szCs w:val="24"/>
              </w:rPr>
              <w:t xml:space="preserve">Parish Council, </w:t>
            </w:r>
            <w:r w:rsidR="001F2856" w:rsidRPr="00CC436B">
              <w:rPr>
                <w:sz w:val="24"/>
                <w:szCs w:val="24"/>
              </w:rPr>
              <w:t>considers whether the Neighbourhood Plan is in general conformity with these s</w:t>
            </w:r>
            <w:r w:rsidRPr="00CC436B">
              <w:rPr>
                <w:sz w:val="24"/>
                <w:szCs w:val="24"/>
              </w:rPr>
              <w:t>trategic policies.</w:t>
            </w:r>
          </w:p>
          <w:p w14:paraId="5482C42D" w14:textId="77777777" w:rsidR="00CF62AF" w:rsidRPr="00CC436B" w:rsidRDefault="00CF62AF" w:rsidP="00CF62AF">
            <w:pPr>
              <w:rPr>
                <w:sz w:val="24"/>
                <w:szCs w:val="24"/>
              </w:rPr>
            </w:pPr>
          </w:p>
          <w:p w14:paraId="37ACE750" w14:textId="32CC1850" w:rsidR="00CF62AF" w:rsidRPr="00CC436B" w:rsidRDefault="006D3C7E" w:rsidP="006C77F7">
            <w:pPr>
              <w:rPr>
                <w:sz w:val="24"/>
                <w:szCs w:val="24"/>
              </w:rPr>
            </w:pPr>
            <w:r w:rsidRPr="00CC436B">
              <w:rPr>
                <w:sz w:val="24"/>
                <w:szCs w:val="24"/>
              </w:rPr>
              <w:t>The Council</w:t>
            </w:r>
            <w:r w:rsidR="00CF62AF" w:rsidRPr="00CC436B">
              <w:rPr>
                <w:sz w:val="24"/>
                <w:szCs w:val="24"/>
              </w:rPr>
              <w:t xml:space="preserve"> considers that </w:t>
            </w:r>
            <w:r w:rsidR="00FB0533" w:rsidRPr="00CC436B">
              <w:rPr>
                <w:sz w:val="24"/>
                <w:szCs w:val="24"/>
              </w:rPr>
              <w:t>p</w:t>
            </w:r>
            <w:r w:rsidR="00CF62AF" w:rsidRPr="00CC436B">
              <w:rPr>
                <w:sz w:val="24"/>
                <w:szCs w:val="24"/>
              </w:rPr>
              <w:t xml:space="preserve">olicies </w:t>
            </w:r>
            <w:r w:rsidR="00FB0533" w:rsidRPr="00CC436B">
              <w:rPr>
                <w:sz w:val="24"/>
                <w:szCs w:val="24"/>
              </w:rPr>
              <w:t xml:space="preserve">in the </w:t>
            </w:r>
            <w:r w:rsidR="00CF62AF" w:rsidRPr="00CC436B">
              <w:rPr>
                <w:sz w:val="24"/>
                <w:szCs w:val="24"/>
              </w:rPr>
              <w:t>Neighbourhood Plan are in general conformity with the strategic policies in the adopted South Cambridgeshire Local Plan</w:t>
            </w:r>
            <w:r w:rsidR="00FB0533" w:rsidRPr="00CC436B">
              <w:rPr>
                <w:sz w:val="24"/>
                <w:szCs w:val="24"/>
              </w:rPr>
              <w:t xml:space="preserve">. </w:t>
            </w:r>
          </w:p>
          <w:p w14:paraId="7F32B04A" w14:textId="77777777" w:rsidR="00871C41" w:rsidRPr="00CC436B" w:rsidRDefault="00871C41" w:rsidP="006C77F7">
            <w:pPr>
              <w:rPr>
                <w:sz w:val="24"/>
                <w:szCs w:val="24"/>
              </w:rPr>
            </w:pPr>
          </w:p>
          <w:p w14:paraId="56A20AFB" w14:textId="77777777" w:rsidR="00871C41" w:rsidRPr="00CC436B" w:rsidRDefault="00871C41" w:rsidP="006D3C7E">
            <w:pPr>
              <w:rPr>
                <w:sz w:val="24"/>
                <w:szCs w:val="24"/>
              </w:rPr>
            </w:pPr>
            <w:r w:rsidRPr="00CC436B">
              <w:rPr>
                <w:sz w:val="24"/>
                <w:szCs w:val="24"/>
              </w:rPr>
              <w:t>This conclusion is consistent with the examiner’s conclusion</w:t>
            </w:r>
            <w:r w:rsidRPr="00CC436B">
              <w:rPr>
                <w:rStyle w:val="FootnoteReference"/>
                <w:sz w:val="24"/>
                <w:szCs w:val="24"/>
              </w:rPr>
              <w:footnoteReference w:id="5"/>
            </w:r>
            <w:r w:rsidRPr="00CC436B">
              <w:rPr>
                <w:sz w:val="24"/>
                <w:szCs w:val="24"/>
              </w:rPr>
              <w:t xml:space="preserve"> that the </w:t>
            </w:r>
            <w:r w:rsidR="006D3C7E" w:rsidRPr="00CC436B">
              <w:rPr>
                <w:sz w:val="24"/>
                <w:szCs w:val="24"/>
              </w:rPr>
              <w:t>Neighbourhood</w:t>
            </w:r>
            <w:r w:rsidRPr="00CC436B">
              <w:rPr>
                <w:sz w:val="24"/>
                <w:szCs w:val="24"/>
              </w:rPr>
              <w:t xml:space="preserve"> Plan delivers a local dimension and supplements the detail already included in the adopted Local Plan, and on that basis is satisfied that the Neighbourhood Plan is in general conformity with the strategic policies in the development plan.</w:t>
            </w:r>
          </w:p>
        </w:tc>
        <w:tc>
          <w:tcPr>
            <w:tcW w:w="2159" w:type="dxa"/>
          </w:tcPr>
          <w:p w14:paraId="218C2204" w14:textId="77777777" w:rsidR="00CF62AF" w:rsidRPr="00CC436B" w:rsidRDefault="00CF62AF" w:rsidP="002F0786">
            <w:pPr>
              <w:rPr>
                <w:sz w:val="24"/>
                <w:szCs w:val="24"/>
              </w:rPr>
            </w:pPr>
            <w:r w:rsidRPr="00CC436B">
              <w:rPr>
                <w:sz w:val="24"/>
                <w:szCs w:val="24"/>
              </w:rPr>
              <w:lastRenderedPageBreak/>
              <w:t>Yes</w:t>
            </w:r>
          </w:p>
        </w:tc>
      </w:tr>
      <w:tr w:rsidR="00CF62AF" w:rsidRPr="00CC436B" w14:paraId="33BFC1FF" w14:textId="77777777" w:rsidTr="002F0786">
        <w:tc>
          <w:tcPr>
            <w:tcW w:w="5637" w:type="dxa"/>
          </w:tcPr>
          <w:p w14:paraId="15C94378" w14:textId="77777777" w:rsidR="00CF62AF" w:rsidRPr="00CC436B" w:rsidRDefault="00CF62AF" w:rsidP="002F0786">
            <w:pPr>
              <w:rPr>
                <w:rFonts w:cs="Arial"/>
                <w:sz w:val="24"/>
                <w:szCs w:val="24"/>
              </w:rPr>
            </w:pPr>
            <w:r w:rsidRPr="00CC436B">
              <w:rPr>
                <w:rFonts w:cs="Arial"/>
                <w:sz w:val="24"/>
                <w:szCs w:val="24"/>
              </w:rPr>
              <w:t>The making of the Neighbourhood Plan does not breach, and is otherwise compatible with, EU obligations.</w:t>
            </w:r>
          </w:p>
          <w:p w14:paraId="652E010C" w14:textId="77777777" w:rsidR="001F2856" w:rsidRPr="00CC436B" w:rsidRDefault="001F2856" w:rsidP="002F0786">
            <w:pPr>
              <w:rPr>
                <w:rFonts w:cs="Arial"/>
                <w:sz w:val="24"/>
                <w:szCs w:val="24"/>
              </w:rPr>
            </w:pPr>
          </w:p>
          <w:p w14:paraId="30EB1AE1" w14:textId="77777777" w:rsidR="001F2856" w:rsidRPr="00CC436B" w:rsidRDefault="001F2856" w:rsidP="00BE38EA">
            <w:pPr>
              <w:rPr>
                <w:sz w:val="24"/>
                <w:szCs w:val="24"/>
              </w:rPr>
            </w:pPr>
            <w:r w:rsidRPr="00CC436B">
              <w:rPr>
                <w:rFonts w:cs="Arial"/>
                <w:sz w:val="24"/>
                <w:szCs w:val="24"/>
              </w:rPr>
              <w:t>Prescribed conditions are met in relation to the Neighbourhood Plan, including that the making of the neighbourhood plan</w:t>
            </w:r>
            <w:r w:rsidR="00BE38EA" w:rsidRPr="00CC436B">
              <w:rPr>
                <w:rFonts w:cs="Arial"/>
                <w:sz w:val="24"/>
                <w:szCs w:val="24"/>
              </w:rPr>
              <w:t xml:space="preserve"> does not breach the requirements of Chapter 8 of Part 6 of the Conversation of Habitats and Species Regulations 2017</w:t>
            </w:r>
            <w:r w:rsidRPr="00CC436B">
              <w:rPr>
                <w:rFonts w:cs="Arial"/>
                <w:sz w:val="24"/>
                <w:szCs w:val="24"/>
              </w:rPr>
              <w:t>.</w:t>
            </w:r>
          </w:p>
        </w:tc>
        <w:tc>
          <w:tcPr>
            <w:tcW w:w="6378" w:type="dxa"/>
          </w:tcPr>
          <w:p w14:paraId="66B410D0" w14:textId="77777777" w:rsidR="00CB5ABC" w:rsidRPr="00CC436B" w:rsidRDefault="00CB5ABC" w:rsidP="00CB5ABC">
            <w:pPr>
              <w:rPr>
                <w:sz w:val="24"/>
                <w:szCs w:val="24"/>
              </w:rPr>
            </w:pPr>
            <w:r w:rsidRPr="00CC436B">
              <w:rPr>
                <w:sz w:val="24"/>
                <w:szCs w:val="24"/>
              </w:rPr>
              <w:t xml:space="preserve">The Council considers that the Neighbourhood Plan does not breach and is compatible with European Union Obligations. </w:t>
            </w:r>
          </w:p>
          <w:p w14:paraId="24F5E118" w14:textId="77777777" w:rsidR="00CB5ABC" w:rsidRPr="00CC436B" w:rsidRDefault="00CB5ABC" w:rsidP="00CB5ABC">
            <w:pPr>
              <w:rPr>
                <w:sz w:val="24"/>
                <w:szCs w:val="24"/>
              </w:rPr>
            </w:pPr>
          </w:p>
          <w:p w14:paraId="6BBDC324" w14:textId="77777777" w:rsidR="00CB5ABC" w:rsidRPr="00CC436B" w:rsidRDefault="00CB5ABC" w:rsidP="00CB5ABC">
            <w:pPr>
              <w:overflowPunct w:val="0"/>
              <w:autoSpaceDE w:val="0"/>
              <w:autoSpaceDN w:val="0"/>
              <w:adjustRightInd w:val="0"/>
              <w:rPr>
                <w:rFonts w:eastAsia="Times New Roman" w:cs="Arial"/>
                <w:sz w:val="24"/>
                <w:szCs w:val="24"/>
              </w:rPr>
            </w:pPr>
            <w:r w:rsidRPr="00CC436B">
              <w:rPr>
                <w:i/>
                <w:sz w:val="24"/>
                <w:szCs w:val="24"/>
                <w:u w:val="single"/>
              </w:rPr>
              <w:t>Strategic Environmental Assessment and Habitats Regulations Assessment:</w:t>
            </w:r>
            <w:r w:rsidRPr="00CC436B">
              <w:rPr>
                <w:sz w:val="24"/>
                <w:szCs w:val="24"/>
              </w:rPr>
              <w:t xml:space="preserve">: a Strategic Environmental Assessment screening has been undertaken that determines that the Neighbourhood Plan is likely to result in significant environmental impacts and therefore does requires a Strategic Environmental Assessment.  A Strategic </w:t>
            </w:r>
            <w:r w:rsidRPr="00CC436B">
              <w:rPr>
                <w:rFonts w:eastAsia="Times New Roman" w:cs="Arial"/>
                <w:sz w:val="24"/>
                <w:szCs w:val="24"/>
              </w:rPr>
              <w:t xml:space="preserve">Environmental Assessment was carried out in </w:t>
            </w:r>
            <w:r w:rsidRPr="00CC436B">
              <w:rPr>
                <w:rFonts w:eastAsia="Times New Roman" w:cs="Arial"/>
                <w:sz w:val="24"/>
                <w:szCs w:val="24"/>
              </w:rPr>
              <w:lastRenderedPageBreak/>
              <w:t>October 2018 to accompany the submission version of the Neighbourhood Plan. This was consulted upon from 7 December 2018 until 11 January 2019.</w:t>
            </w:r>
          </w:p>
          <w:p w14:paraId="69F43FCD" w14:textId="77777777" w:rsidR="00CB5ABC" w:rsidRPr="00CC436B" w:rsidRDefault="00CB5ABC" w:rsidP="00CB5ABC">
            <w:pPr>
              <w:rPr>
                <w:sz w:val="24"/>
                <w:szCs w:val="24"/>
              </w:rPr>
            </w:pPr>
          </w:p>
          <w:p w14:paraId="5A4081E6" w14:textId="77777777" w:rsidR="00CB5ABC" w:rsidRPr="00CC436B" w:rsidRDefault="00CB5ABC" w:rsidP="00CB5ABC">
            <w:pPr>
              <w:rPr>
                <w:sz w:val="24"/>
                <w:szCs w:val="24"/>
              </w:rPr>
            </w:pPr>
            <w:r w:rsidRPr="00CC436B">
              <w:rPr>
                <w:sz w:val="24"/>
                <w:szCs w:val="24"/>
              </w:rPr>
              <w:t>A Habitat Regulations Assessment screening has also been undertaken that indicates that the Neighbourhood Plan is not predicted to have significant effects on any European site, either alone or in conjunction with other plans and projects. These conclusions are supported by the responses from the statutory bodies.</w:t>
            </w:r>
          </w:p>
          <w:p w14:paraId="77C43A01" w14:textId="77777777" w:rsidR="00CB5ABC" w:rsidRPr="00CC436B" w:rsidRDefault="00CB5ABC" w:rsidP="00CB5ABC">
            <w:pPr>
              <w:rPr>
                <w:sz w:val="24"/>
                <w:szCs w:val="24"/>
              </w:rPr>
            </w:pPr>
          </w:p>
          <w:p w14:paraId="3DF23651" w14:textId="77777777" w:rsidR="00CB5ABC" w:rsidRPr="00CC436B" w:rsidRDefault="00CB5ABC" w:rsidP="00CB5ABC">
            <w:pPr>
              <w:rPr>
                <w:sz w:val="24"/>
                <w:szCs w:val="24"/>
              </w:rPr>
            </w:pPr>
            <w:r w:rsidRPr="00CC436B">
              <w:rPr>
                <w:sz w:val="24"/>
                <w:szCs w:val="24"/>
              </w:rPr>
              <w:t>During the course of the preparation of the Neighbourhood Plan, a case in the European Court (People Over Wind and Peter Sweetman, April 2018) changed the basis on which competent authorities are required to undertake Habitats Regulations Assessments. In September 2018, Essex Place Services, on behalf of South Cambridgeshire District Council, undertook a review of the screening determination from March 2018. The review concluded that the earlier Habitats Regulations Assessment screening determination was properly reached without regard to measures intended to avoid or reduce harmful effects on any European protected site either alone or in combination. The review also concluded that there was no need to progress to an Appropriate Assessment.</w:t>
            </w:r>
          </w:p>
          <w:p w14:paraId="5E0EE52C" w14:textId="77777777" w:rsidR="00CB5ABC" w:rsidRPr="00CC436B" w:rsidRDefault="00CB5ABC" w:rsidP="008B22F3">
            <w:pPr>
              <w:rPr>
                <w:sz w:val="24"/>
                <w:szCs w:val="24"/>
              </w:rPr>
            </w:pPr>
          </w:p>
          <w:p w14:paraId="0821249B" w14:textId="3D4C3F46" w:rsidR="00203E01" w:rsidRPr="00CC436B" w:rsidRDefault="00CB5ABC" w:rsidP="008B22F3">
            <w:pPr>
              <w:rPr>
                <w:sz w:val="24"/>
                <w:szCs w:val="24"/>
              </w:rPr>
            </w:pPr>
            <w:r w:rsidRPr="00CC436B">
              <w:rPr>
                <w:rFonts w:cs="Arial"/>
                <w:bCs/>
                <w:sz w:val="24"/>
                <w:szCs w:val="24"/>
              </w:rPr>
              <w:t xml:space="preserve">As the modifications made to the Cottenham Neighbourhood Plan following its examination do not change the essence of its planning policies, the </w:t>
            </w:r>
            <w:r w:rsidRPr="00CC436B">
              <w:rPr>
                <w:sz w:val="24"/>
                <w:szCs w:val="24"/>
              </w:rPr>
              <w:t xml:space="preserve">Strategic </w:t>
            </w:r>
            <w:r w:rsidRPr="00CC436B">
              <w:rPr>
                <w:sz w:val="24"/>
                <w:szCs w:val="24"/>
              </w:rPr>
              <w:lastRenderedPageBreak/>
              <w:t xml:space="preserve">Environmental Assessment </w:t>
            </w:r>
            <w:r w:rsidRPr="00CC436B">
              <w:rPr>
                <w:rFonts w:cs="Arial"/>
                <w:bCs/>
                <w:sz w:val="24"/>
                <w:szCs w:val="24"/>
              </w:rPr>
              <w:t>and Habitats Regulations Assessment screening undertaken on a draft version of the Neighbourhood Plan in March and September 2018, and the screening determination published in September 2018 remain valid. As does the Strategic Environmental Assessment carried out in October 2018.</w:t>
            </w:r>
          </w:p>
          <w:p w14:paraId="478FFB03" w14:textId="77777777" w:rsidR="00CB5ABC" w:rsidRPr="00CC436B" w:rsidRDefault="00CB5ABC" w:rsidP="008B22F3">
            <w:pPr>
              <w:rPr>
                <w:rFonts w:cs="Arial"/>
                <w:bCs/>
                <w:sz w:val="24"/>
                <w:szCs w:val="24"/>
              </w:rPr>
            </w:pPr>
          </w:p>
          <w:p w14:paraId="7A860321" w14:textId="23DB6FA5" w:rsidR="00203E01" w:rsidRPr="00CC436B" w:rsidRDefault="00203E01" w:rsidP="008B22F3">
            <w:pPr>
              <w:rPr>
                <w:rFonts w:cs="Arial"/>
                <w:bCs/>
                <w:sz w:val="24"/>
                <w:szCs w:val="24"/>
              </w:rPr>
            </w:pPr>
            <w:r w:rsidRPr="00CC436B">
              <w:rPr>
                <w:rFonts w:cs="Arial"/>
                <w:bCs/>
                <w:sz w:val="24"/>
                <w:szCs w:val="24"/>
              </w:rPr>
              <w:t xml:space="preserve">The </w:t>
            </w:r>
            <w:r w:rsidR="00FB0533" w:rsidRPr="00CC436B">
              <w:rPr>
                <w:rFonts w:cs="Arial"/>
                <w:bCs/>
                <w:sz w:val="24"/>
                <w:szCs w:val="24"/>
              </w:rPr>
              <w:t>Cottenham</w:t>
            </w:r>
            <w:r w:rsidRPr="00CC436B">
              <w:rPr>
                <w:rFonts w:cs="Arial"/>
                <w:bCs/>
                <w:sz w:val="24"/>
                <w:szCs w:val="24"/>
              </w:rPr>
              <w:t xml:space="preserve"> Neighbourhood Plan therefore </w:t>
            </w:r>
            <w:r w:rsidR="00BE38EA" w:rsidRPr="00CC436B">
              <w:rPr>
                <w:rFonts w:cs="Arial"/>
                <w:bCs/>
                <w:sz w:val="24"/>
                <w:szCs w:val="24"/>
              </w:rPr>
              <w:t>meets the new Basic Condition</w:t>
            </w:r>
            <w:r w:rsidRPr="00CC436B">
              <w:rPr>
                <w:rFonts w:cs="Arial"/>
                <w:bCs/>
                <w:sz w:val="24"/>
                <w:szCs w:val="24"/>
              </w:rPr>
              <w:t xml:space="preserve"> as i</w:t>
            </w:r>
            <w:r w:rsidR="00BE38EA" w:rsidRPr="00CC436B">
              <w:rPr>
                <w:rFonts w:cs="Arial"/>
                <w:bCs/>
                <w:sz w:val="24"/>
                <w:szCs w:val="24"/>
              </w:rPr>
              <w:t>t has been determined that the making</w:t>
            </w:r>
            <w:r w:rsidRPr="00CC436B">
              <w:rPr>
                <w:rFonts w:cs="Arial"/>
                <w:bCs/>
                <w:sz w:val="24"/>
                <w:szCs w:val="24"/>
              </w:rPr>
              <w:t xml:space="preserve"> of the </w:t>
            </w:r>
            <w:r w:rsidR="00FB0533" w:rsidRPr="00CC436B">
              <w:rPr>
                <w:rFonts w:cs="Arial"/>
                <w:bCs/>
                <w:sz w:val="24"/>
                <w:szCs w:val="24"/>
              </w:rPr>
              <w:t>Cottenham</w:t>
            </w:r>
            <w:r w:rsidRPr="00CC436B">
              <w:rPr>
                <w:rFonts w:cs="Arial"/>
                <w:bCs/>
                <w:sz w:val="24"/>
                <w:szCs w:val="24"/>
              </w:rPr>
              <w:t xml:space="preserve"> Neighbourhood Plan is unlikely to have any significant effects on any European site, either alone or in combination with other plans and projects, and t</w:t>
            </w:r>
            <w:r w:rsidR="00BE38EA" w:rsidRPr="00CC436B">
              <w:rPr>
                <w:rFonts w:cs="Arial"/>
                <w:bCs/>
                <w:sz w:val="24"/>
                <w:szCs w:val="24"/>
              </w:rPr>
              <w:t>herefore the amendments to the Basic Condition</w:t>
            </w:r>
            <w:r w:rsidRPr="00CC436B">
              <w:rPr>
                <w:rFonts w:cs="Arial"/>
                <w:bCs/>
                <w:sz w:val="24"/>
                <w:szCs w:val="24"/>
              </w:rPr>
              <w:t xml:space="preserve"> do not affect the validity</w:t>
            </w:r>
            <w:r w:rsidR="003752AA" w:rsidRPr="00CC436B">
              <w:rPr>
                <w:rFonts w:cs="Arial"/>
                <w:bCs/>
                <w:sz w:val="24"/>
                <w:szCs w:val="24"/>
              </w:rPr>
              <w:t xml:space="preserve"> of the Council’s previous HRA screening, screening determination, and </w:t>
            </w:r>
            <w:r w:rsidR="003752AA" w:rsidRPr="00CC436B">
              <w:rPr>
                <w:sz w:val="24"/>
                <w:szCs w:val="24"/>
              </w:rPr>
              <w:t>review of the screening determination</w:t>
            </w:r>
            <w:r w:rsidRPr="00CC436B">
              <w:rPr>
                <w:rFonts w:cs="Arial"/>
                <w:bCs/>
                <w:sz w:val="24"/>
                <w:szCs w:val="24"/>
              </w:rPr>
              <w:t>.</w:t>
            </w:r>
          </w:p>
          <w:p w14:paraId="02330B5E" w14:textId="77777777" w:rsidR="00871C41" w:rsidRPr="00CC436B" w:rsidRDefault="00871C41" w:rsidP="008B22F3">
            <w:pPr>
              <w:rPr>
                <w:rFonts w:cs="Arial"/>
                <w:bCs/>
                <w:sz w:val="24"/>
                <w:szCs w:val="24"/>
              </w:rPr>
            </w:pPr>
          </w:p>
          <w:p w14:paraId="7B47CAB8" w14:textId="77777777" w:rsidR="00871C41" w:rsidRPr="00CC436B" w:rsidRDefault="00871C41" w:rsidP="008B22F3">
            <w:pPr>
              <w:rPr>
                <w:sz w:val="24"/>
                <w:szCs w:val="24"/>
              </w:rPr>
            </w:pPr>
            <w:r w:rsidRPr="00CC436B">
              <w:rPr>
                <w:sz w:val="24"/>
                <w:szCs w:val="24"/>
              </w:rPr>
              <w:t>This conclusion is consistent with the examiner’s conclusion</w:t>
            </w:r>
            <w:r w:rsidRPr="00CC436B">
              <w:rPr>
                <w:rStyle w:val="FootnoteReference"/>
                <w:sz w:val="24"/>
                <w:szCs w:val="24"/>
              </w:rPr>
              <w:footnoteReference w:id="6"/>
            </w:r>
            <w:r w:rsidRPr="00CC436B">
              <w:rPr>
                <w:sz w:val="24"/>
                <w:szCs w:val="24"/>
              </w:rPr>
              <w:t xml:space="preserve"> </w:t>
            </w:r>
            <w:r w:rsidR="00185389" w:rsidRPr="00CC436B">
              <w:rPr>
                <w:sz w:val="24"/>
                <w:szCs w:val="24"/>
              </w:rPr>
              <w:t>that a proportionate process has been undertaken in accordance with the various regulations and the Neighbourhood Plan is compatible with European obligations.</w:t>
            </w:r>
          </w:p>
          <w:p w14:paraId="0C38F02E" w14:textId="77777777" w:rsidR="008B22F3" w:rsidRPr="00CC436B" w:rsidRDefault="008B22F3" w:rsidP="008B22F3">
            <w:pPr>
              <w:rPr>
                <w:sz w:val="24"/>
                <w:szCs w:val="24"/>
              </w:rPr>
            </w:pPr>
          </w:p>
          <w:p w14:paraId="7F62DE83" w14:textId="462747F5" w:rsidR="00CF62AF" w:rsidRPr="00CC436B" w:rsidRDefault="001F2856" w:rsidP="002F0786">
            <w:pPr>
              <w:rPr>
                <w:sz w:val="24"/>
                <w:szCs w:val="24"/>
              </w:rPr>
            </w:pPr>
            <w:r w:rsidRPr="00CC436B">
              <w:rPr>
                <w:i/>
                <w:sz w:val="24"/>
                <w:szCs w:val="24"/>
                <w:u w:val="single"/>
              </w:rPr>
              <w:t>Human Rights</w:t>
            </w:r>
            <w:r w:rsidRPr="00CC436B">
              <w:rPr>
                <w:sz w:val="24"/>
                <w:szCs w:val="24"/>
              </w:rPr>
              <w:t xml:space="preserve">: </w:t>
            </w:r>
            <w:r w:rsidR="00CB5ABC" w:rsidRPr="00CC436B">
              <w:rPr>
                <w:rFonts w:cs="Arial"/>
                <w:sz w:val="24"/>
                <w:szCs w:val="24"/>
              </w:rPr>
              <w:t xml:space="preserve">these issues have been considered in the preparation of the Neighbourhood Plan, as to meet the Basic Conditions a Neighbourhood Plan must not breach, and is otherwise compatible with, European Union </w:t>
            </w:r>
            <w:r w:rsidR="00CB5ABC" w:rsidRPr="00CC436B">
              <w:rPr>
                <w:rFonts w:cs="Arial"/>
                <w:sz w:val="24"/>
                <w:szCs w:val="24"/>
              </w:rPr>
              <w:lastRenderedPageBreak/>
              <w:t>obligations, including Human Rights. The Examiner in his report is satisfied that the submitted Plan has had regard to the fundamental rights and freedoms guaranteed under the European Convention on Human Rights and that it complies with the Human Rights Act. There is no evidence that has been submitted to suggest otherwise. (see paragraph 6.22 of the Examiners Report)</w:t>
            </w:r>
          </w:p>
          <w:p w14:paraId="0EFF4493" w14:textId="77777777" w:rsidR="00185389" w:rsidRPr="00CC436B" w:rsidRDefault="00185389" w:rsidP="002F0786">
            <w:pPr>
              <w:rPr>
                <w:sz w:val="24"/>
                <w:szCs w:val="24"/>
              </w:rPr>
            </w:pPr>
          </w:p>
          <w:p w14:paraId="71F66DFA" w14:textId="77777777" w:rsidR="00185389" w:rsidRPr="00CC436B" w:rsidRDefault="00185389" w:rsidP="00185389">
            <w:pPr>
              <w:rPr>
                <w:sz w:val="24"/>
                <w:szCs w:val="24"/>
              </w:rPr>
            </w:pPr>
            <w:r w:rsidRPr="00CC436B">
              <w:rPr>
                <w:sz w:val="24"/>
                <w:szCs w:val="24"/>
              </w:rPr>
              <w:t>This conclusion is consistent with the examiner’s conclusion</w:t>
            </w:r>
            <w:r w:rsidRPr="00CC436B">
              <w:rPr>
                <w:rStyle w:val="FootnoteReference"/>
                <w:sz w:val="24"/>
                <w:szCs w:val="24"/>
              </w:rPr>
              <w:footnoteReference w:id="7"/>
            </w:r>
            <w:r w:rsidRPr="00CC436B">
              <w:rPr>
                <w:sz w:val="24"/>
                <w:szCs w:val="24"/>
              </w:rPr>
              <w:t xml:space="preserve"> that the Neighbourhood Plan has had regard to the fundamental rights and freedoms guaranteed under the European Convention on Human Rights and that it complies with the Human Rights Act.</w:t>
            </w:r>
          </w:p>
        </w:tc>
        <w:tc>
          <w:tcPr>
            <w:tcW w:w="2159" w:type="dxa"/>
          </w:tcPr>
          <w:p w14:paraId="15E600F7" w14:textId="77777777" w:rsidR="00CF62AF" w:rsidRPr="00CC436B" w:rsidRDefault="00CF62AF" w:rsidP="002F0786">
            <w:pPr>
              <w:rPr>
                <w:sz w:val="24"/>
                <w:szCs w:val="24"/>
              </w:rPr>
            </w:pPr>
            <w:r w:rsidRPr="00CC436B">
              <w:rPr>
                <w:sz w:val="24"/>
                <w:szCs w:val="24"/>
              </w:rPr>
              <w:lastRenderedPageBreak/>
              <w:t>Yes</w:t>
            </w:r>
          </w:p>
        </w:tc>
      </w:tr>
    </w:tbl>
    <w:p w14:paraId="5E822B4D" w14:textId="77777777" w:rsidR="00C40804" w:rsidRDefault="00C40804" w:rsidP="00C40804">
      <w:pPr>
        <w:spacing w:line="240" w:lineRule="auto"/>
        <w:rPr>
          <w:b/>
        </w:rPr>
      </w:pPr>
    </w:p>
    <w:p w14:paraId="42C416BE" w14:textId="285C52C3" w:rsidR="000D234F" w:rsidRDefault="000D234F" w:rsidP="00C40804">
      <w:pPr>
        <w:spacing w:line="240" w:lineRule="auto"/>
        <w:rPr>
          <w:b/>
        </w:rPr>
      </w:pPr>
      <w:r w:rsidRPr="000D234F">
        <w:rPr>
          <w:b/>
        </w:rPr>
        <w:t>CONCLUSION: South Camb</w:t>
      </w:r>
      <w:r w:rsidR="00F3615E">
        <w:rPr>
          <w:b/>
        </w:rPr>
        <w:t>ridgeshire District Council has confirmed</w:t>
      </w:r>
      <w:r w:rsidRPr="000D234F">
        <w:rPr>
          <w:b/>
        </w:rPr>
        <w:t xml:space="preserve"> that the</w:t>
      </w:r>
      <w:r w:rsidR="00F3615E">
        <w:rPr>
          <w:b/>
        </w:rPr>
        <w:t xml:space="preserve"> </w:t>
      </w:r>
      <w:r w:rsidR="003752AA">
        <w:rPr>
          <w:b/>
        </w:rPr>
        <w:t>made</w:t>
      </w:r>
      <w:r w:rsidR="00F3615E">
        <w:rPr>
          <w:b/>
        </w:rPr>
        <w:t xml:space="preserve"> </w:t>
      </w:r>
      <w:r w:rsidR="008751B0">
        <w:rPr>
          <w:b/>
        </w:rPr>
        <w:t xml:space="preserve">Cottenham </w:t>
      </w:r>
      <w:r w:rsidRPr="000D234F">
        <w:rPr>
          <w:b/>
        </w:rPr>
        <w:t xml:space="preserve">Neighbourhood Plan meets </w:t>
      </w:r>
      <w:r w:rsidR="003752AA">
        <w:rPr>
          <w:b/>
        </w:rPr>
        <w:t xml:space="preserve">all </w:t>
      </w:r>
      <w:r w:rsidRPr="000D234F">
        <w:rPr>
          <w:b/>
        </w:rPr>
        <w:t xml:space="preserve">the </w:t>
      </w:r>
      <w:r w:rsidR="003752AA">
        <w:rPr>
          <w:b/>
        </w:rPr>
        <w:t>Basic Conditions</w:t>
      </w:r>
      <w:r w:rsidRPr="000D234F">
        <w:rPr>
          <w:b/>
        </w:rPr>
        <w:t>.</w:t>
      </w:r>
    </w:p>
    <w:p w14:paraId="77A954D5" w14:textId="77777777" w:rsidR="000D234F" w:rsidRPr="000D234F" w:rsidRDefault="000D234F" w:rsidP="000D234F">
      <w:pPr>
        <w:rPr>
          <w:b/>
        </w:rPr>
      </w:pPr>
    </w:p>
    <w:p w14:paraId="3628591B" w14:textId="77777777" w:rsidR="00995FCE" w:rsidRDefault="000D234F" w:rsidP="000D234F">
      <w:r>
        <w:t>* Please note that all references to primary and secondary legislation are to those enactments as amended.</w:t>
      </w:r>
    </w:p>
    <w:sectPr w:rsidR="00995FCE" w:rsidSect="00995FCE">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6AA8A" w14:textId="77777777" w:rsidR="00DA3C24" w:rsidRDefault="00DA3C24" w:rsidP="00E14454">
      <w:pPr>
        <w:spacing w:line="240" w:lineRule="auto"/>
      </w:pPr>
      <w:r>
        <w:separator/>
      </w:r>
    </w:p>
  </w:endnote>
  <w:endnote w:type="continuationSeparator" w:id="0">
    <w:p w14:paraId="4AE98817" w14:textId="77777777" w:rsidR="00DA3C24" w:rsidRDefault="00DA3C24" w:rsidP="00E14454">
      <w:pPr>
        <w:spacing w:line="240" w:lineRule="auto"/>
      </w:pPr>
      <w:r>
        <w:continuationSeparator/>
      </w:r>
    </w:p>
  </w:endnote>
  <w:endnote w:type="continuationNotice" w:id="1">
    <w:p w14:paraId="75906D50" w14:textId="77777777" w:rsidR="000565E1" w:rsidRDefault="000565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63468313"/>
      <w:docPartObj>
        <w:docPartGallery w:val="Page Numbers (Bottom of Page)"/>
        <w:docPartUnique/>
      </w:docPartObj>
    </w:sdtPr>
    <w:sdtEndPr>
      <w:rPr>
        <w:noProof/>
      </w:rPr>
    </w:sdtEndPr>
    <w:sdtContent>
      <w:p w14:paraId="343D13CC" w14:textId="77777777" w:rsidR="00E14454" w:rsidRPr="00E14454" w:rsidRDefault="00E14454" w:rsidP="00E14454">
        <w:pPr>
          <w:pStyle w:val="Footer"/>
          <w:jc w:val="right"/>
          <w:rPr>
            <w:sz w:val="20"/>
          </w:rPr>
        </w:pPr>
        <w:r w:rsidRPr="00E14454">
          <w:rPr>
            <w:sz w:val="20"/>
          </w:rPr>
          <w:fldChar w:fldCharType="begin"/>
        </w:r>
        <w:r w:rsidRPr="00E14454">
          <w:rPr>
            <w:sz w:val="20"/>
          </w:rPr>
          <w:instrText xml:space="preserve"> PAGE   \* MERGEFORMAT </w:instrText>
        </w:r>
        <w:r w:rsidRPr="00E14454">
          <w:rPr>
            <w:sz w:val="20"/>
          </w:rPr>
          <w:fldChar w:fldCharType="separate"/>
        </w:r>
        <w:r w:rsidR="00B557FF">
          <w:rPr>
            <w:noProof/>
            <w:sz w:val="20"/>
          </w:rPr>
          <w:t>7</w:t>
        </w:r>
        <w:r w:rsidRPr="00E14454">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EDC0C" w14:textId="77777777" w:rsidR="00DA3C24" w:rsidRDefault="00DA3C24" w:rsidP="00E14454">
      <w:pPr>
        <w:spacing w:line="240" w:lineRule="auto"/>
      </w:pPr>
      <w:r>
        <w:separator/>
      </w:r>
    </w:p>
  </w:footnote>
  <w:footnote w:type="continuationSeparator" w:id="0">
    <w:p w14:paraId="43F802C9" w14:textId="77777777" w:rsidR="00DA3C24" w:rsidRDefault="00DA3C24" w:rsidP="00E14454">
      <w:pPr>
        <w:spacing w:line="240" w:lineRule="auto"/>
      </w:pPr>
      <w:r>
        <w:continuationSeparator/>
      </w:r>
    </w:p>
  </w:footnote>
  <w:footnote w:type="continuationNotice" w:id="1">
    <w:p w14:paraId="054BF18A" w14:textId="77777777" w:rsidR="000565E1" w:rsidRDefault="000565E1">
      <w:pPr>
        <w:spacing w:line="240" w:lineRule="auto"/>
      </w:pPr>
    </w:p>
  </w:footnote>
  <w:footnote w:id="2">
    <w:p w14:paraId="5A85BB1D" w14:textId="1CDCC74C" w:rsidR="002D0864" w:rsidRPr="00234D41" w:rsidRDefault="002D0864">
      <w:pPr>
        <w:pStyle w:val="FootnoteText"/>
        <w:rPr>
          <w:sz w:val="24"/>
          <w:szCs w:val="24"/>
        </w:rPr>
      </w:pPr>
      <w:r>
        <w:rPr>
          <w:rStyle w:val="FootnoteReference"/>
        </w:rPr>
        <w:footnoteRef/>
      </w:r>
      <w:r>
        <w:t xml:space="preserve"> </w:t>
      </w:r>
      <w:r w:rsidRPr="00234D41">
        <w:rPr>
          <w:sz w:val="24"/>
          <w:szCs w:val="24"/>
        </w:rPr>
        <w:t xml:space="preserve">Paragraph 214 of the National Planning Policy Framework (2018) confirms that for the purposes of examining a Neighbourhood Plan, the policies in the previous NPPF (2012) will apply where the Neighbourhood Plan was submitted to the local planning authority before 24 January 2019. The </w:t>
      </w:r>
      <w:r w:rsidR="005F140E" w:rsidRPr="00234D41">
        <w:rPr>
          <w:sz w:val="24"/>
          <w:szCs w:val="24"/>
        </w:rPr>
        <w:t xml:space="preserve">Cottenham </w:t>
      </w:r>
      <w:r w:rsidRPr="00234D41">
        <w:rPr>
          <w:sz w:val="24"/>
          <w:szCs w:val="24"/>
        </w:rPr>
        <w:t xml:space="preserve">Neighbourhood Plan was submitted to SCDC </w:t>
      </w:r>
      <w:r w:rsidR="005F140E" w:rsidRPr="00234D41">
        <w:rPr>
          <w:sz w:val="24"/>
          <w:szCs w:val="24"/>
        </w:rPr>
        <w:t>on 15</w:t>
      </w:r>
      <w:r w:rsidRPr="00234D41">
        <w:rPr>
          <w:sz w:val="24"/>
          <w:szCs w:val="24"/>
        </w:rPr>
        <w:t xml:space="preserve"> </w:t>
      </w:r>
      <w:r w:rsidR="005F140E" w:rsidRPr="00234D41">
        <w:rPr>
          <w:sz w:val="24"/>
          <w:szCs w:val="24"/>
        </w:rPr>
        <w:t>January 2019</w:t>
      </w:r>
      <w:r w:rsidRPr="00234D41">
        <w:rPr>
          <w:sz w:val="24"/>
          <w:szCs w:val="24"/>
        </w:rPr>
        <w:t>, and therefore references to the NPPF refer to the NPPF 2012 and not the NPPF 2018.</w:t>
      </w:r>
    </w:p>
  </w:footnote>
  <w:footnote w:id="3">
    <w:p w14:paraId="57681C6E" w14:textId="3FF20143" w:rsidR="00871C41" w:rsidRDefault="00871C41" w:rsidP="00871C41">
      <w:pPr>
        <w:pStyle w:val="FootnoteText"/>
      </w:pPr>
      <w:r w:rsidRPr="00234D41">
        <w:rPr>
          <w:rStyle w:val="FootnoteReference"/>
          <w:sz w:val="24"/>
          <w:szCs w:val="24"/>
        </w:rPr>
        <w:footnoteRef/>
      </w:r>
      <w:r w:rsidRPr="00234D41">
        <w:rPr>
          <w:sz w:val="24"/>
          <w:szCs w:val="24"/>
        </w:rPr>
        <w:t xml:space="preserve"> Examiner’s Report on the </w:t>
      </w:r>
      <w:r w:rsidR="00A11D1D" w:rsidRPr="00234D41">
        <w:rPr>
          <w:sz w:val="24"/>
          <w:szCs w:val="24"/>
        </w:rPr>
        <w:t>Cottenham</w:t>
      </w:r>
      <w:r w:rsidRPr="00234D41">
        <w:rPr>
          <w:sz w:val="24"/>
          <w:szCs w:val="24"/>
        </w:rPr>
        <w:t xml:space="preserve"> Neighbourhood Plan (see paragraphs </w:t>
      </w:r>
      <w:r w:rsidR="00185389" w:rsidRPr="00234D41">
        <w:rPr>
          <w:sz w:val="24"/>
          <w:szCs w:val="24"/>
        </w:rPr>
        <w:t>6</w:t>
      </w:r>
      <w:r w:rsidR="00A11D1D" w:rsidRPr="00234D41">
        <w:rPr>
          <w:sz w:val="24"/>
          <w:szCs w:val="24"/>
        </w:rPr>
        <w:t>.4-6.10</w:t>
      </w:r>
      <w:r w:rsidRPr="00234D41">
        <w:rPr>
          <w:sz w:val="24"/>
          <w:szCs w:val="24"/>
        </w:rPr>
        <w:t xml:space="preserve">): </w:t>
      </w:r>
      <w:bookmarkStart w:id="0" w:name="_Hlk35253013"/>
      <w:r w:rsidR="00A11D1D" w:rsidRPr="00234D41">
        <w:rPr>
          <w:sz w:val="24"/>
          <w:szCs w:val="24"/>
        </w:rPr>
        <w:fldChar w:fldCharType="begin"/>
      </w:r>
      <w:r w:rsidR="00A11D1D" w:rsidRPr="00234D41">
        <w:rPr>
          <w:sz w:val="24"/>
          <w:szCs w:val="24"/>
        </w:rPr>
        <w:instrText xml:space="preserve"> HYPERLINK "https://www.scambs.gov.uk/media/14231/cottenham-neighbourhood-development-plan-examiners-report-final-101219.pdf" </w:instrText>
      </w:r>
      <w:r w:rsidR="00A11D1D" w:rsidRPr="00234D41">
        <w:rPr>
          <w:sz w:val="24"/>
          <w:szCs w:val="24"/>
        </w:rPr>
        <w:fldChar w:fldCharType="separate"/>
      </w:r>
      <w:r w:rsidR="00A11D1D" w:rsidRPr="00234D41">
        <w:rPr>
          <w:rStyle w:val="Hyperlink"/>
          <w:sz w:val="24"/>
          <w:szCs w:val="24"/>
        </w:rPr>
        <w:t>https://www.scambs.gov.uk/media/14231/cottenham-neighbourhood-development-plan-examiners-report-final-101219.pdf</w:t>
      </w:r>
      <w:r w:rsidR="00A11D1D" w:rsidRPr="00234D41">
        <w:rPr>
          <w:sz w:val="24"/>
          <w:szCs w:val="24"/>
        </w:rPr>
        <w:fldChar w:fldCharType="end"/>
      </w:r>
      <w:r w:rsidR="00A11D1D">
        <w:t xml:space="preserve"> </w:t>
      </w:r>
      <w:bookmarkEnd w:id="0"/>
    </w:p>
  </w:footnote>
  <w:footnote w:id="4">
    <w:p w14:paraId="50177A15" w14:textId="7E56E847" w:rsidR="00871C41" w:rsidRDefault="00871C41" w:rsidP="00871C41">
      <w:pPr>
        <w:pStyle w:val="FootnoteText"/>
      </w:pPr>
      <w:r>
        <w:rPr>
          <w:rStyle w:val="FootnoteReference"/>
        </w:rPr>
        <w:footnoteRef/>
      </w:r>
      <w:r>
        <w:t xml:space="preserve"> </w:t>
      </w:r>
      <w:r w:rsidRPr="00234D41">
        <w:rPr>
          <w:sz w:val="24"/>
          <w:szCs w:val="24"/>
        </w:rPr>
        <w:t xml:space="preserve">Examiner’s Report on the </w:t>
      </w:r>
      <w:r w:rsidR="00FB0533" w:rsidRPr="00234D41">
        <w:rPr>
          <w:sz w:val="24"/>
          <w:szCs w:val="24"/>
        </w:rPr>
        <w:t>Cottenham</w:t>
      </w:r>
      <w:r w:rsidRPr="00234D41">
        <w:rPr>
          <w:sz w:val="24"/>
          <w:szCs w:val="24"/>
        </w:rPr>
        <w:t xml:space="preserve"> Neighbourhood Plan (see paragraph 6.1</w:t>
      </w:r>
      <w:r w:rsidR="00FB0533" w:rsidRPr="00234D41">
        <w:rPr>
          <w:sz w:val="24"/>
          <w:szCs w:val="24"/>
        </w:rPr>
        <w:t>1</w:t>
      </w:r>
      <w:r w:rsidRPr="00234D41">
        <w:rPr>
          <w:sz w:val="24"/>
          <w:szCs w:val="24"/>
        </w:rPr>
        <w:t xml:space="preserve">): </w:t>
      </w:r>
      <w:hyperlink r:id="rId1" w:history="1">
        <w:r w:rsidR="00FB0533" w:rsidRPr="00234D41">
          <w:rPr>
            <w:rStyle w:val="Hyperlink"/>
            <w:sz w:val="24"/>
            <w:szCs w:val="24"/>
          </w:rPr>
          <w:t>https://www.scambs.gov.uk/media/14231/cottenham-neighbourhood-development-plan-examiners-report-final-101219.pdf</w:t>
        </w:r>
      </w:hyperlink>
      <w:r w:rsidR="00FB0533">
        <w:t xml:space="preserve"> </w:t>
      </w:r>
    </w:p>
  </w:footnote>
  <w:footnote w:id="5">
    <w:p w14:paraId="0DBC3519" w14:textId="7AB9452D" w:rsidR="00871C41" w:rsidRDefault="00871C41" w:rsidP="00871C41">
      <w:pPr>
        <w:pStyle w:val="FootnoteText"/>
      </w:pPr>
      <w:r>
        <w:rPr>
          <w:rStyle w:val="FootnoteReference"/>
        </w:rPr>
        <w:footnoteRef/>
      </w:r>
      <w:r>
        <w:t xml:space="preserve"> </w:t>
      </w:r>
      <w:r w:rsidRPr="00234D41">
        <w:rPr>
          <w:sz w:val="24"/>
          <w:szCs w:val="24"/>
        </w:rPr>
        <w:t xml:space="preserve">Examiner’s Report on the </w:t>
      </w:r>
      <w:r w:rsidR="00FB0533" w:rsidRPr="00234D41">
        <w:rPr>
          <w:sz w:val="24"/>
          <w:szCs w:val="24"/>
        </w:rPr>
        <w:t>Cottenham</w:t>
      </w:r>
      <w:r w:rsidRPr="00234D41">
        <w:rPr>
          <w:sz w:val="24"/>
          <w:szCs w:val="24"/>
        </w:rPr>
        <w:t xml:space="preserve"> Neighbourhood Plan (see paragraph 6.12</w:t>
      </w:r>
      <w:r w:rsidR="00FB0533" w:rsidRPr="00234D41">
        <w:rPr>
          <w:sz w:val="24"/>
          <w:szCs w:val="24"/>
        </w:rPr>
        <w:t>-6.13</w:t>
      </w:r>
      <w:r w:rsidRPr="00234D41">
        <w:rPr>
          <w:sz w:val="24"/>
          <w:szCs w:val="24"/>
        </w:rPr>
        <w:t xml:space="preserve">): </w:t>
      </w:r>
      <w:hyperlink r:id="rId2" w:history="1">
        <w:r w:rsidR="00FB0533" w:rsidRPr="00234D41">
          <w:rPr>
            <w:rStyle w:val="Hyperlink"/>
            <w:sz w:val="24"/>
            <w:szCs w:val="24"/>
          </w:rPr>
          <w:t>https://www.scambs.gov.uk/media/14231/cottenham-neighbourhood-development-plan-examiners-report-final-101219.pdf</w:t>
        </w:r>
      </w:hyperlink>
      <w:r w:rsidR="00FB0533">
        <w:t xml:space="preserve"> </w:t>
      </w:r>
    </w:p>
  </w:footnote>
  <w:footnote w:id="6">
    <w:p w14:paraId="084DA7B9" w14:textId="0C361DC5" w:rsidR="00871C41" w:rsidRDefault="00871C41" w:rsidP="00871C41">
      <w:pPr>
        <w:pStyle w:val="FootnoteText"/>
      </w:pPr>
      <w:r>
        <w:rPr>
          <w:rStyle w:val="FootnoteReference"/>
        </w:rPr>
        <w:footnoteRef/>
      </w:r>
      <w:r>
        <w:t xml:space="preserve"> Examiner’s Report on the </w:t>
      </w:r>
      <w:r w:rsidR="008751B0">
        <w:t>Cottenham</w:t>
      </w:r>
      <w:r>
        <w:t xml:space="preserve"> Neighbourhood Plan</w:t>
      </w:r>
      <w:r w:rsidR="00185389">
        <w:t xml:space="preserve"> (see paragraphs</w:t>
      </w:r>
      <w:r w:rsidR="00CB5ABC">
        <w:t xml:space="preserve"> 6.14 -6.22</w:t>
      </w:r>
      <w:r w:rsidR="00185389">
        <w:t>)</w:t>
      </w:r>
      <w:r>
        <w:t xml:space="preserve">: </w:t>
      </w:r>
      <w:hyperlink r:id="rId3" w:history="1">
        <w:r w:rsidR="00FB0533" w:rsidRPr="00FC4124">
          <w:rPr>
            <w:rStyle w:val="Hyperlink"/>
          </w:rPr>
          <w:t>https://www.scambs.gov.uk/media/14231/cottenham-neighbourhood-development-plan-examiners-report-final-101219.pdf</w:t>
        </w:r>
      </w:hyperlink>
      <w:r>
        <w:t xml:space="preserve">  </w:t>
      </w:r>
    </w:p>
  </w:footnote>
  <w:footnote w:id="7">
    <w:p w14:paraId="26281B0E" w14:textId="51B76A79" w:rsidR="00185389" w:rsidRDefault="00185389" w:rsidP="00185389">
      <w:pPr>
        <w:pStyle w:val="FootnoteText"/>
      </w:pPr>
      <w:r>
        <w:rPr>
          <w:rStyle w:val="FootnoteReference"/>
        </w:rPr>
        <w:footnoteRef/>
      </w:r>
      <w:r>
        <w:t xml:space="preserve"> Examiner’s Report on the </w:t>
      </w:r>
      <w:r w:rsidR="006C0974">
        <w:t>Cottenham</w:t>
      </w:r>
      <w:r>
        <w:t xml:space="preserve"> Neighbourhood Plan (see paragraph </w:t>
      </w:r>
      <w:r w:rsidR="00CB5ABC">
        <w:t>6.22</w:t>
      </w:r>
      <w:r>
        <w:t xml:space="preserve">): </w:t>
      </w:r>
      <w:hyperlink r:id="rId4" w:history="1">
        <w:r w:rsidR="00FB0533" w:rsidRPr="00FC4124">
          <w:rPr>
            <w:rStyle w:val="Hyperlink"/>
          </w:rPr>
          <w:t>https://www.scambs.gov.uk/media/14231/cottenham-neighbourhood-development-plan-examiners-report-final-101219.pdf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6C6"/>
    <w:multiLevelType w:val="hybridMultilevel"/>
    <w:tmpl w:val="B5C6F6B2"/>
    <w:lvl w:ilvl="0" w:tplc="E724EFEE">
      <w:start w:val="1"/>
      <w:numFmt w:val="decimal"/>
      <w:isLgl/>
      <w:lvlText w:val="%1."/>
      <w:lvlJc w:val="left"/>
      <w:pPr>
        <w:tabs>
          <w:tab w:val="num" w:pos="720"/>
        </w:tabs>
        <w:ind w:left="720" w:hanging="720"/>
      </w:pPr>
      <w:rPr>
        <w:rFonts w:ascii="Arial" w:hAnsi="Arial" w:hint="default"/>
        <w:b w:val="0"/>
        <w:i w:val="0"/>
        <w:sz w:val="22"/>
        <w:u w:val="none"/>
      </w:rPr>
    </w:lvl>
    <w:lvl w:ilvl="1" w:tplc="4158332E">
      <w:start w:val="1"/>
      <w:numFmt w:val="lowerLetter"/>
      <w:lvlText w:val="(%2)"/>
      <w:lvlJc w:val="left"/>
      <w:pPr>
        <w:tabs>
          <w:tab w:val="num" w:pos="1440"/>
        </w:tabs>
        <w:ind w:left="1440" w:hanging="720"/>
      </w:pPr>
      <w:rPr>
        <w:rFonts w:ascii="Arial" w:hAnsi="Arial" w:hint="default"/>
        <w:b w:val="0"/>
        <w:i w:val="0"/>
        <w:caps w:val="0"/>
        <w:vanish w:val="0"/>
        <w:sz w:val="22"/>
      </w:rPr>
    </w:lvl>
    <w:lvl w:ilvl="2" w:tplc="BD9A3112">
      <w:start w:val="1"/>
      <w:numFmt w:val="lowerRoman"/>
      <w:lvlText w:val="(%3)"/>
      <w:lvlJc w:val="left"/>
      <w:pPr>
        <w:tabs>
          <w:tab w:val="num" w:pos="2160"/>
        </w:tabs>
        <w:ind w:left="2160" w:hanging="720"/>
      </w:pPr>
      <w:rPr>
        <w:rFonts w:ascii="Arial" w:hAnsi="Arial" w:hint="default"/>
        <w:b w:val="0"/>
        <w:i w:val="0"/>
        <w:caps w:val="0"/>
        <w:vanish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47335C"/>
    <w:multiLevelType w:val="hybridMultilevel"/>
    <w:tmpl w:val="7888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AA4743"/>
    <w:multiLevelType w:val="hybridMultilevel"/>
    <w:tmpl w:val="9432E11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8D1508"/>
    <w:multiLevelType w:val="hybridMultilevel"/>
    <w:tmpl w:val="FCA612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B1F50"/>
    <w:multiLevelType w:val="hybridMultilevel"/>
    <w:tmpl w:val="D2DA7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9A6191"/>
    <w:multiLevelType w:val="hybridMultilevel"/>
    <w:tmpl w:val="962E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0F4A85"/>
    <w:multiLevelType w:val="hybridMultilevel"/>
    <w:tmpl w:val="2EA6F356"/>
    <w:lvl w:ilvl="0" w:tplc="4158332E">
      <w:start w:val="1"/>
      <w:numFmt w:val="lowerLetter"/>
      <w:lvlText w:val="(%1)"/>
      <w:lvlJc w:val="left"/>
      <w:pPr>
        <w:tabs>
          <w:tab w:val="num" w:pos="1440"/>
        </w:tabs>
        <w:ind w:left="1440" w:hanging="720"/>
      </w:pPr>
      <w:rPr>
        <w:rFonts w:ascii="Arial" w:hAnsi="Arial" w:hint="default"/>
        <w:b w:val="0"/>
        <w:i w:val="0"/>
        <w:caps w:val="0"/>
        <w:vanish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767F3"/>
    <w:multiLevelType w:val="hybridMultilevel"/>
    <w:tmpl w:val="87C4F534"/>
    <w:lvl w:ilvl="0" w:tplc="FB082CE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7D096A"/>
    <w:multiLevelType w:val="hybridMultilevel"/>
    <w:tmpl w:val="38A6A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755EE"/>
    <w:multiLevelType w:val="hybridMultilevel"/>
    <w:tmpl w:val="C5D6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2"/>
  </w:num>
  <w:num w:numId="6">
    <w:abstractNumId w:val="0"/>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FCE"/>
    <w:rsid w:val="000565E1"/>
    <w:rsid w:val="000808E6"/>
    <w:rsid w:val="00097ABC"/>
    <w:rsid w:val="000D234F"/>
    <w:rsid w:val="000D46E5"/>
    <w:rsid w:val="00185389"/>
    <w:rsid w:val="001F2856"/>
    <w:rsid w:val="00203E01"/>
    <w:rsid w:val="00234D41"/>
    <w:rsid w:val="002574C6"/>
    <w:rsid w:val="00280B08"/>
    <w:rsid w:val="00284AC0"/>
    <w:rsid w:val="002D0864"/>
    <w:rsid w:val="002D674C"/>
    <w:rsid w:val="00326576"/>
    <w:rsid w:val="00352052"/>
    <w:rsid w:val="003752AA"/>
    <w:rsid w:val="003A5132"/>
    <w:rsid w:val="003C6E04"/>
    <w:rsid w:val="0046122F"/>
    <w:rsid w:val="004C0CF7"/>
    <w:rsid w:val="004E1B0D"/>
    <w:rsid w:val="00523410"/>
    <w:rsid w:val="005A1D2D"/>
    <w:rsid w:val="005D0E85"/>
    <w:rsid w:val="005F140E"/>
    <w:rsid w:val="00620F1B"/>
    <w:rsid w:val="00657E9F"/>
    <w:rsid w:val="006C0974"/>
    <w:rsid w:val="006C77F7"/>
    <w:rsid w:val="006D3C7E"/>
    <w:rsid w:val="00795B2D"/>
    <w:rsid w:val="007A4F1F"/>
    <w:rsid w:val="00804555"/>
    <w:rsid w:val="00871C41"/>
    <w:rsid w:val="008737B6"/>
    <w:rsid w:val="008751B0"/>
    <w:rsid w:val="008B22F3"/>
    <w:rsid w:val="008D7D91"/>
    <w:rsid w:val="00900406"/>
    <w:rsid w:val="00920CCD"/>
    <w:rsid w:val="009422B6"/>
    <w:rsid w:val="00995FCE"/>
    <w:rsid w:val="009D6B5A"/>
    <w:rsid w:val="00A11D1D"/>
    <w:rsid w:val="00B12AD0"/>
    <w:rsid w:val="00B45027"/>
    <w:rsid w:val="00B557FF"/>
    <w:rsid w:val="00B838E5"/>
    <w:rsid w:val="00BB47D4"/>
    <w:rsid w:val="00BD1856"/>
    <w:rsid w:val="00BE38EA"/>
    <w:rsid w:val="00C40804"/>
    <w:rsid w:val="00C918F6"/>
    <w:rsid w:val="00CB5ABC"/>
    <w:rsid w:val="00CC436B"/>
    <w:rsid w:val="00CF62AF"/>
    <w:rsid w:val="00D07D47"/>
    <w:rsid w:val="00DA3C24"/>
    <w:rsid w:val="00DA557D"/>
    <w:rsid w:val="00DA55E2"/>
    <w:rsid w:val="00E14454"/>
    <w:rsid w:val="00E82ED2"/>
    <w:rsid w:val="00EF1A8A"/>
    <w:rsid w:val="00F3615E"/>
    <w:rsid w:val="00FB0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834B"/>
  <w15:docId w15:val="{50326644-2CEF-444D-8620-7921595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8A"/>
    <w:pPr>
      <w:spacing w:line="280" w:lineRule="exact"/>
    </w:pPr>
    <w:rPr>
      <w:rFonts w:ascii="Arial" w:hAnsi="Arial"/>
      <w:sz w:val="22"/>
      <w:szCs w:val="22"/>
      <w:lang w:eastAsia="en-US"/>
    </w:rPr>
  </w:style>
  <w:style w:type="paragraph" w:styleId="Heading1">
    <w:name w:val="heading 1"/>
    <w:basedOn w:val="Normal"/>
    <w:next w:val="Normal"/>
    <w:link w:val="Heading1Char"/>
    <w:uiPriority w:val="9"/>
    <w:qFormat/>
    <w:rsid w:val="00CC43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43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5FCE"/>
    <w:pPr>
      <w:widowControl w:val="0"/>
      <w:autoSpaceDE w:val="0"/>
      <w:autoSpaceDN w:val="0"/>
      <w:spacing w:line="240" w:lineRule="auto"/>
    </w:pPr>
    <w:rPr>
      <w:rFonts w:ascii="Verdana" w:eastAsia="Verdana" w:hAnsi="Verdana" w:cs="Verdana"/>
      <w:lang w:val="en-US"/>
    </w:rPr>
  </w:style>
  <w:style w:type="paragraph" w:styleId="BalloonText">
    <w:name w:val="Balloon Text"/>
    <w:basedOn w:val="Normal"/>
    <w:link w:val="BalloonTextChar"/>
    <w:uiPriority w:val="99"/>
    <w:semiHidden/>
    <w:unhideWhenUsed/>
    <w:rsid w:val="00E144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54"/>
    <w:rPr>
      <w:rFonts w:ascii="Tahoma" w:hAnsi="Tahoma" w:cs="Tahoma"/>
      <w:sz w:val="16"/>
      <w:szCs w:val="16"/>
      <w:lang w:eastAsia="en-US"/>
    </w:rPr>
  </w:style>
  <w:style w:type="paragraph" w:styleId="Header">
    <w:name w:val="header"/>
    <w:basedOn w:val="Normal"/>
    <w:link w:val="HeaderChar"/>
    <w:uiPriority w:val="99"/>
    <w:unhideWhenUsed/>
    <w:rsid w:val="00E14454"/>
    <w:pPr>
      <w:tabs>
        <w:tab w:val="center" w:pos="4513"/>
        <w:tab w:val="right" w:pos="9026"/>
      </w:tabs>
      <w:spacing w:line="240" w:lineRule="auto"/>
    </w:pPr>
  </w:style>
  <w:style w:type="character" w:customStyle="1" w:styleId="HeaderChar">
    <w:name w:val="Header Char"/>
    <w:basedOn w:val="DefaultParagraphFont"/>
    <w:link w:val="Header"/>
    <w:uiPriority w:val="99"/>
    <w:rsid w:val="00E14454"/>
    <w:rPr>
      <w:rFonts w:ascii="Arial" w:hAnsi="Arial"/>
      <w:sz w:val="22"/>
      <w:szCs w:val="22"/>
      <w:lang w:eastAsia="en-US"/>
    </w:rPr>
  </w:style>
  <w:style w:type="paragraph" w:styleId="Footer">
    <w:name w:val="footer"/>
    <w:basedOn w:val="Normal"/>
    <w:link w:val="FooterChar"/>
    <w:uiPriority w:val="99"/>
    <w:unhideWhenUsed/>
    <w:rsid w:val="00E14454"/>
    <w:pPr>
      <w:tabs>
        <w:tab w:val="center" w:pos="4513"/>
        <w:tab w:val="right" w:pos="9026"/>
      </w:tabs>
      <w:spacing w:line="240" w:lineRule="auto"/>
    </w:pPr>
  </w:style>
  <w:style w:type="character" w:customStyle="1" w:styleId="FooterChar">
    <w:name w:val="Footer Char"/>
    <w:basedOn w:val="DefaultParagraphFont"/>
    <w:link w:val="Footer"/>
    <w:uiPriority w:val="99"/>
    <w:rsid w:val="00E14454"/>
    <w:rPr>
      <w:rFonts w:ascii="Arial" w:hAnsi="Arial"/>
      <w:sz w:val="22"/>
      <w:szCs w:val="22"/>
      <w:lang w:eastAsia="en-US"/>
    </w:rPr>
  </w:style>
  <w:style w:type="character" w:styleId="CommentReference">
    <w:name w:val="annotation reference"/>
    <w:basedOn w:val="DefaultParagraphFont"/>
    <w:uiPriority w:val="99"/>
    <w:semiHidden/>
    <w:unhideWhenUsed/>
    <w:rsid w:val="008737B6"/>
    <w:rPr>
      <w:sz w:val="16"/>
      <w:szCs w:val="16"/>
    </w:rPr>
  </w:style>
  <w:style w:type="paragraph" w:styleId="CommentText">
    <w:name w:val="annotation text"/>
    <w:basedOn w:val="Normal"/>
    <w:link w:val="CommentTextChar"/>
    <w:uiPriority w:val="99"/>
    <w:semiHidden/>
    <w:unhideWhenUsed/>
    <w:rsid w:val="008737B6"/>
    <w:pPr>
      <w:spacing w:line="240" w:lineRule="auto"/>
    </w:pPr>
    <w:rPr>
      <w:sz w:val="20"/>
      <w:szCs w:val="20"/>
    </w:rPr>
  </w:style>
  <w:style w:type="character" w:customStyle="1" w:styleId="CommentTextChar">
    <w:name w:val="Comment Text Char"/>
    <w:basedOn w:val="DefaultParagraphFont"/>
    <w:link w:val="CommentText"/>
    <w:uiPriority w:val="99"/>
    <w:semiHidden/>
    <w:rsid w:val="008737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737B6"/>
    <w:rPr>
      <w:b/>
      <w:bCs/>
    </w:rPr>
  </w:style>
  <w:style w:type="character" w:customStyle="1" w:styleId="CommentSubjectChar">
    <w:name w:val="Comment Subject Char"/>
    <w:basedOn w:val="CommentTextChar"/>
    <w:link w:val="CommentSubject"/>
    <w:uiPriority w:val="99"/>
    <w:semiHidden/>
    <w:rsid w:val="008737B6"/>
    <w:rPr>
      <w:rFonts w:ascii="Arial" w:hAnsi="Arial"/>
      <w:b/>
      <w:bCs/>
      <w:lang w:eastAsia="en-US"/>
    </w:rPr>
  </w:style>
  <w:style w:type="paragraph" w:styleId="ListParagraph">
    <w:name w:val="List Paragraph"/>
    <w:basedOn w:val="Normal"/>
    <w:uiPriority w:val="34"/>
    <w:qFormat/>
    <w:rsid w:val="00CF62AF"/>
    <w:pPr>
      <w:ind w:left="720"/>
      <w:contextualSpacing/>
    </w:pPr>
  </w:style>
  <w:style w:type="paragraph" w:styleId="FootnoteText">
    <w:name w:val="footnote text"/>
    <w:basedOn w:val="Normal"/>
    <w:link w:val="FootnoteTextChar"/>
    <w:uiPriority w:val="99"/>
    <w:semiHidden/>
    <w:unhideWhenUsed/>
    <w:rsid w:val="00CF62AF"/>
    <w:pPr>
      <w:spacing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CF62AF"/>
    <w:rPr>
      <w:rFonts w:ascii="Arial" w:eastAsia="Times New Roman" w:hAnsi="Arial"/>
      <w:lang w:eastAsia="en-US"/>
    </w:rPr>
  </w:style>
  <w:style w:type="character" w:styleId="FootnoteReference">
    <w:name w:val="footnote reference"/>
    <w:basedOn w:val="DefaultParagraphFont"/>
    <w:uiPriority w:val="99"/>
    <w:semiHidden/>
    <w:unhideWhenUsed/>
    <w:rsid w:val="00CF62AF"/>
    <w:rPr>
      <w:vertAlign w:val="superscript"/>
    </w:rPr>
  </w:style>
  <w:style w:type="character" w:styleId="Hyperlink">
    <w:name w:val="Hyperlink"/>
    <w:basedOn w:val="DefaultParagraphFont"/>
    <w:uiPriority w:val="99"/>
    <w:unhideWhenUsed/>
    <w:rsid w:val="00CF62AF"/>
    <w:rPr>
      <w:color w:val="0000FF" w:themeColor="hyperlink"/>
      <w:u w:val="single"/>
    </w:rPr>
  </w:style>
  <w:style w:type="character" w:styleId="UnresolvedMention">
    <w:name w:val="Unresolved Mention"/>
    <w:basedOn w:val="DefaultParagraphFont"/>
    <w:uiPriority w:val="99"/>
    <w:semiHidden/>
    <w:unhideWhenUsed/>
    <w:rsid w:val="00A11D1D"/>
    <w:rPr>
      <w:color w:val="605E5C"/>
      <w:shd w:val="clear" w:color="auto" w:fill="E1DFDD"/>
    </w:rPr>
  </w:style>
  <w:style w:type="character" w:customStyle="1" w:styleId="Heading1Char">
    <w:name w:val="Heading 1 Char"/>
    <w:basedOn w:val="DefaultParagraphFont"/>
    <w:link w:val="Heading1"/>
    <w:uiPriority w:val="9"/>
    <w:rsid w:val="00CC436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C436B"/>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2D674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74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cambs.gov.uk/media/14231/cottenham-neighbourhood-development-plan-examiners-report-final-101219.pdf" TargetMode="External"/><Relationship Id="rId2" Type="http://schemas.openxmlformats.org/officeDocument/2006/relationships/hyperlink" Target="https://www.scambs.gov.uk/media/14231/cottenham-neighbourhood-development-plan-examiners-report-final-101219.pdf" TargetMode="External"/><Relationship Id="rId1" Type="http://schemas.openxmlformats.org/officeDocument/2006/relationships/hyperlink" Target="https://www.scambs.gov.uk/media/14231/cottenham-neighbourhood-development-plan-examiners-report-final-101219.pdf" TargetMode="External"/><Relationship Id="rId4" Type="http://schemas.openxmlformats.org/officeDocument/2006/relationships/hyperlink" Target="https://www.scambs.gov.uk/media/14231/cottenham-neighbourhood-development-plan-examiners-report-final-1012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13" ma:contentTypeDescription="Create a new document." ma:contentTypeScope="" ma:versionID="d79c60507abf4aeb6b97ebe577be91de">
  <xsd:schema xmlns:xsd="http://www.w3.org/2001/XMLSchema" xmlns:xs="http://www.w3.org/2001/XMLSchema" xmlns:p="http://schemas.microsoft.com/office/2006/metadata/properties" xmlns:ns2="9cf17ce6-9f37-411b-9d80-3806b0709260" xmlns:ns3="72047f3e-e38d-41e4-9a66-9a0d5ddcdd4b" targetNamespace="http://schemas.microsoft.com/office/2006/metadata/properties" ma:root="true" ma:fieldsID="4bf8a3143a2e539852ba2769d6256cb7" ns2:_="" ns3:_="">
    <xsd:import namespace="9cf17ce6-9f37-411b-9d80-3806b0709260"/>
    <xsd:import namespace="72047f3e-e38d-41e4-9a66-9a0d5ddcd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6BC5-264F-47AD-BD7B-D1706445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17ce6-9f37-411b-9d80-3806b0709260"/>
    <ds:schemaRef ds:uri="72047f3e-e38d-41e4-9a66-9a0d5ddc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BDD2F-CB79-4105-B9B2-4ACF1428C5BB}">
  <ds:schemaRefs>
    <ds:schemaRef ds:uri="http://schemas.microsoft.com/office/2006/metadata/properties"/>
    <ds:schemaRef ds:uri="http://schemas.microsoft.com/office/infopath/2007/PartnerControls"/>
    <ds:schemaRef ds:uri="9cf17ce6-9f37-411b-9d80-3806b0709260"/>
  </ds:schemaRefs>
</ds:datastoreItem>
</file>

<file path=customXml/itemProps3.xml><?xml version="1.0" encoding="utf-8"?>
<ds:datastoreItem xmlns:ds="http://schemas.openxmlformats.org/officeDocument/2006/customXml" ds:itemID="{E38BEB14-388C-4053-A3B3-A38FB5164005}">
  <ds:schemaRefs>
    <ds:schemaRef ds:uri="http://schemas.microsoft.com/sharepoint/v3/contenttype/forms"/>
  </ds:schemaRefs>
</ds:datastoreItem>
</file>

<file path=customXml/itemProps4.xml><?xml version="1.0" encoding="utf-8"?>
<ds:datastoreItem xmlns:ds="http://schemas.openxmlformats.org/officeDocument/2006/customXml" ds:itemID="{DB333B6D-B1F6-4D99-9CC8-F29B36DE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Cambs District Council</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Nuttycombe</dc:creator>
  <cp:lastModifiedBy>Talkington Alison</cp:lastModifiedBy>
  <cp:revision>15</cp:revision>
  <cp:lastPrinted>2018-02-27T18:00:00Z</cp:lastPrinted>
  <dcterms:created xsi:type="dcterms:W3CDTF">2020-03-03T16:36:00Z</dcterms:created>
  <dcterms:modified xsi:type="dcterms:W3CDTF">2021-05-10T14:00:00Z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ies>
</file>