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CC31" w14:textId="4B93F33B" w:rsidR="00E92D95" w:rsidRPr="00563591" w:rsidRDefault="00995FCE" w:rsidP="00563591">
      <w:pPr>
        <w:pStyle w:val="Heading1"/>
        <w:rPr>
          <w:rFonts w:ascii="Arial" w:hAnsi="Arial" w:cs="Arial"/>
        </w:rPr>
      </w:pPr>
      <w:r w:rsidRPr="00563591">
        <w:rPr>
          <w:rFonts w:ascii="Arial" w:hAnsi="Arial" w:cs="Arial"/>
        </w:rPr>
        <w:t>Legal Compliance Check – Submission of Neighbourhood Plan</w:t>
      </w:r>
    </w:p>
    <w:p w14:paraId="11E54E3E" w14:textId="77777777" w:rsidR="00995FCE" w:rsidRPr="00995FCE" w:rsidRDefault="00995FCE" w:rsidP="000D234F">
      <w:pPr>
        <w:rPr>
          <w:b/>
        </w:rPr>
      </w:pPr>
    </w:p>
    <w:p w14:paraId="24F75D38" w14:textId="68FC9D70" w:rsidR="00995FCE" w:rsidRPr="00563591" w:rsidRDefault="00563591" w:rsidP="00563591">
      <w:pPr>
        <w:pStyle w:val="Heading2"/>
        <w:rPr>
          <w:rFonts w:ascii="Arial" w:hAnsi="Arial" w:cs="Arial"/>
        </w:rPr>
      </w:pPr>
      <w:r w:rsidRPr="00563591">
        <w:rPr>
          <w:rFonts w:ascii="Arial" w:hAnsi="Arial" w:cs="Arial"/>
        </w:rPr>
        <w:t>Waterbeach</w:t>
      </w:r>
      <w:r w:rsidR="00995FCE" w:rsidRPr="00563591">
        <w:rPr>
          <w:rFonts w:ascii="Arial" w:hAnsi="Arial" w:cs="Arial"/>
        </w:rPr>
        <w:t xml:space="preserve"> Neighbourhood Plan – </w:t>
      </w:r>
      <w:r w:rsidR="00D50583">
        <w:rPr>
          <w:rFonts w:ascii="Arial" w:hAnsi="Arial" w:cs="Arial"/>
        </w:rPr>
        <w:t>February</w:t>
      </w:r>
      <w:r w:rsidR="0091508C" w:rsidRPr="00563591">
        <w:rPr>
          <w:rFonts w:ascii="Arial" w:hAnsi="Arial" w:cs="Arial"/>
        </w:rPr>
        <w:t xml:space="preserve"> 202</w:t>
      </w:r>
      <w:r w:rsidRPr="00563591">
        <w:rPr>
          <w:rFonts w:ascii="Arial" w:hAnsi="Arial" w:cs="Arial"/>
        </w:rPr>
        <w:t>1</w:t>
      </w:r>
    </w:p>
    <w:p w14:paraId="3F17D0DB" w14:textId="77777777" w:rsidR="0049108D" w:rsidRDefault="0049108D" w:rsidP="000D234F">
      <w:pPr>
        <w:rPr>
          <w:b/>
        </w:rPr>
      </w:pPr>
    </w:p>
    <w:tbl>
      <w:tblPr>
        <w:tblStyle w:val="TableGrid"/>
        <w:tblW w:w="0" w:type="auto"/>
        <w:tblLook w:val="04A0" w:firstRow="1" w:lastRow="0" w:firstColumn="1" w:lastColumn="0" w:noHBand="0" w:noVBand="1"/>
      </w:tblPr>
      <w:tblGrid>
        <w:gridCol w:w="5554"/>
        <w:gridCol w:w="6254"/>
        <w:gridCol w:w="2140"/>
      </w:tblGrid>
      <w:tr w:rsidR="00995FCE" w:rsidRPr="00360C5F" w14:paraId="00535D17" w14:textId="77777777" w:rsidTr="00995FCE">
        <w:trPr>
          <w:tblHeader/>
        </w:trPr>
        <w:tc>
          <w:tcPr>
            <w:tcW w:w="5637" w:type="dxa"/>
            <w:shd w:val="clear" w:color="auto" w:fill="BFBFBF" w:themeFill="background1" w:themeFillShade="BF"/>
          </w:tcPr>
          <w:p w14:paraId="40BFE5C4" w14:textId="77777777" w:rsidR="00995FCE" w:rsidRPr="00360C5F" w:rsidRDefault="00995FCE" w:rsidP="008A7EA4">
            <w:pPr>
              <w:pStyle w:val="Heading3"/>
              <w:spacing w:line="360" w:lineRule="auto"/>
              <w:rPr>
                <w:rFonts w:ascii="Arial" w:hAnsi="Arial" w:cs="Arial"/>
                <w:b/>
                <w:bCs/>
              </w:rPr>
            </w:pPr>
            <w:r w:rsidRPr="00360C5F">
              <w:rPr>
                <w:rFonts w:ascii="Arial" w:hAnsi="Arial" w:cs="Arial"/>
                <w:b/>
                <w:bCs/>
              </w:rPr>
              <w:t>Requirements and relevant legislation* and/or guidance</w:t>
            </w:r>
          </w:p>
        </w:tc>
        <w:tc>
          <w:tcPr>
            <w:tcW w:w="6378" w:type="dxa"/>
            <w:shd w:val="clear" w:color="auto" w:fill="BFBFBF" w:themeFill="background1" w:themeFillShade="BF"/>
          </w:tcPr>
          <w:p w14:paraId="1CDE616E" w14:textId="48E4AED5" w:rsidR="00995FCE" w:rsidRPr="00360C5F" w:rsidRDefault="00995FCE" w:rsidP="008A7EA4">
            <w:pPr>
              <w:pStyle w:val="Heading3"/>
              <w:spacing w:line="360" w:lineRule="auto"/>
              <w:rPr>
                <w:rFonts w:ascii="Arial" w:hAnsi="Arial" w:cs="Arial"/>
                <w:b/>
                <w:bCs/>
              </w:rPr>
            </w:pPr>
            <w:r w:rsidRPr="00360C5F">
              <w:rPr>
                <w:rFonts w:ascii="Arial" w:hAnsi="Arial" w:cs="Arial"/>
                <w:b/>
                <w:bCs/>
              </w:rPr>
              <w:t>L</w:t>
            </w:r>
            <w:r w:rsidR="00563591" w:rsidRPr="00360C5F">
              <w:rPr>
                <w:rFonts w:ascii="Arial" w:hAnsi="Arial" w:cs="Arial"/>
                <w:b/>
                <w:bCs/>
              </w:rPr>
              <w:t xml:space="preserve">ocal </w:t>
            </w:r>
            <w:r w:rsidRPr="00360C5F">
              <w:rPr>
                <w:rFonts w:ascii="Arial" w:hAnsi="Arial" w:cs="Arial"/>
                <w:b/>
                <w:bCs/>
              </w:rPr>
              <w:t>P</w:t>
            </w:r>
            <w:r w:rsidR="00563591" w:rsidRPr="00360C5F">
              <w:rPr>
                <w:rFonts w:ascii="Arial" w:hAnsi="Arial" w:cs="Arial"/>
                <w:b/>
                <w:bCs/>
              </w:rPr>
              <w:t xml:space="preserve">lanning </w:t>
            </w:r>
            <w:r w:rsidRPr="00360C5F">
              <w:rPr>
                <w:rFonts w:ascii="Arial" w:hAnsi="Arial" w:cs="Arial"/>
                <w:b/>
                <w:bCs/>
              </w:rPr>
              <w:t>A</w:t>
            </w:r>
            <w:r w:rsidR="00563591" w:rsidRPr="00360C5F">
              <w:rPr>
                <w:rFonts w:ascii="Arial" w:hAnsi="Arial" w:cs="Arial"/>
                <w:b/>
                <w:bCs/>
              </w:rPr>
              <w:t>uthority</w:t>
            </w:r>
            <w:r w:rsidRPr="00360C5F">
              <w:rPr>
                <w:rFonts w:ascii="Arial" w:hAnsi="Arial" w:cs="Arial"/>
                <w:b/>
                <w:bCs/>
              </w:rPr>
              <w:t xml:space="preserve"> Comments</w:t>
            </w:r>
          </w:p>
        </w:tc>
        <w:tc>
          <w:tcPr>
            <w:tcW w:w="2159" w:type="dxa"/>
            <w:shd w:val="clear" w:color="auto" w:fill="BFBFBF" w:themeFill="background1" w:themeFillShade="BF"/>
          </w:tcPr>
          <w:p w14:paraId="1A4C688B" w14:textId="77777777" w:rsidR="00995FCE" w:rsidRPr="00360C5F" w:rsidRDefault="00995FCE" w:rsidP="008A7EA4">
            <w:pPr>
              <w:pStyle w:val="Heading3"/>
              <w:spacing w:line="360" w:lineRule="auto"/>
              <w:rPr>
                <w:rFonts w:ascii="Arial" w:hAnsi="Arial" w:cs="Arial"/>
                <w:b/>
                <w:bCs/>
              </w:rPr>
            </w:pPr>
            <w:r w:rsidRPr="00360C5F">
              <w:rPr>
                <w:rFonts w:ascii="Arial" w:hAnsi="Arial" w:cs="Arial"/>
                <w:b/>
                <w:bCs/>
              </w:rPr>
              <w:t>Legally compliant?</w:t>
            </w:r>
          </w:p>
        </w:tc>
      </w:tr>
      <w:tr w:rsidR="00995FCE" w:rsidRPr="00563591" w14:paraId="7F5D3091" w14:textId="77777777" w:rsidTr="00995FCE">
        <w:tc>
          <w:tcPr>
            <w:tcW w:w="5637" w:type="dxa"/>
          </w:tcPr>
          <w:p w14:paraId="1926DE80" w14:textId="77777777" w:rsidR="00995FCE" w:rsidRPr="00563591" w:rsidRDefault="00995FCE" w:rsidP="008A7EA4">
            <w:pPr>
              <w:spacing w:line="360" w:lineRule="auto"/>
              <w:rPr>
                <w:sz w:val="24"/>
                <w:szCs w:val="24"/>
              </w:rPr>
            </w:pPr>
            <w:r w:rsidRPr="00563591">
              <w:rPr>
                <w:sz w:val="24"/>
                <w:szCs w:val="24"/>
              </w:rPr>
              <w:t>The body submitting the neighbourhood</w:t>
            </w:r>
            <w:r w:rsidR="009D6B5A" w:rsidRPr="00563591">
              <w:rPr>
                <w:sz w:val="24"/>
                <w:szCs w:val="24"/>
              </w:rPr>
              <w:t xml:space="preserve"> plan is authorised to act </w:t>
            </w:r>
            <w:r w:rsidRPr="00563591">
              <w:rPr>
                <w:sz w:val="24"/>
                <w:szCs w:val="24"/>
              </w:rPr>
              <w:t>(Planning and Compulsory Purchase Act 2004, as amended by the Localism Act 2011 s38A(1,2), S38C(2)(a) and 1990 Act schedu</w:t>
            </w:r>
            <w:r w:rsidR="009D6B5A" w:rsidRPr="00563591">
              <w:rPr>
                <w:sz w:val="24"/>
                <w:szCs w:val="24"/>
              </w:rPr>
              <w:t>le 4B, 6(2), as it applies 61F).</w:t>
            </w:r>
            <w:r w:rsidRPr="00563591">
              <w:rPr>
                <w:sz w:val="24"/>
                <w:szCs w:val="24"/>
              </w:rPr>
              <w:t xml:space="preserve"> </w:t>
            </w:r>
          </w:p>
          <w:p w14:paraId="03328F40" w14:textId="77777777" w:rsidR="00995FCE" w:rsidRPr="00563591" w:rsidRDefault="00995FCE" w:rsidP="008A7EA4">
            <w:pPr>
              <w:spacing w:line="360" w:lineRule="auto"/>
              <w:rPr>
                <w:sz w:val="24"/>
                <w:szCs w:val="24"/>
              </w:rPr>
            </w:pPr>
          </w:p>
          <w:p w14:paraId="45AE3551" w14:textId="77777777" w:rsidR="00995FCE" w:rsidRPr="00563591" w:rsidRDefault="00995FCE" w:rsidP="008A7EA4">
            <w:pPr>
              <w:spacing w:line="360" w:lineRule="auto"/>
              <w:rPr>
                <w:sz w:val="24"/>
                <w:szCs w:val="24"/>
              </w:rPr>
            </w:pPr>
            <w:r w:rsidRPr="00563591">
              <w:rPr>
                <w:sz w:val="24"/>
                <w:szCs w:val="24"/>
              </w:rPr>
              <w:t xml:space="preserve">In a designated neighbourhood </w:t>
            </w:r>
            <w:proofErr w:type="gramStart"/>
            <w:r w:rsidRPr="00563591">
              <w:rPr>
                <w:sz w:val="24"/>
                <w:szCs w:val="24"/>
              </w:rPr>
              <w:t>area</w:t>
            </w:r>
            <w:proofErr w:type="gramEnd"/>
            <w:r w:rsidRPr="00563591">
              <w:rPr>
                <w:sz w:val="24"/>
                <w:szCs w:val="24"/>
              </w:rPr>
              <w:t xml:space="preserve"> which contains all or part of the administrative area of a town or parish council, the town or parish council is responsible for neighbourhood planning. The relationship between any steering group and the town or parish council should be transparent to the wider public. For example, it should be clear whether a steering group or other body is a formal sub-committee of the parish or town council. The terms of reference for a steering group or other </w:t>
            </w:r>
            <w:r w:rsidRPr="00563591">
              <w:rPr>
                <w:sz w:val="24"/>
                <w:szCs w:val="24"/>
              </w:rPr>
              <w:lastRenderedPageBreak/>
              <w:t>body should be published and the minutes of meeting</w:t>
            </w:r>
            <w:r w:rsidR="009D6B5A" w:rsidRPr="00563591">
              <w:rPr>
                <w:sz w:val="24"/>
                <w:szCs w:val="24"/>
              </w:rPr>
              <w:t>s made available to the public.</w:t>
            </w:r>
          </w:p>
        </w:tc>
        <w:tc>
          <w:tcPr>
            <w:tcW w:w="6378" w:type="dxa"/>
          </w:tcPr>
          <w:p w14:paraId="474030C3" w14:textId="50D8C89B" w:rsidR="00995FCE" w:rsidRPr="00563591" w:rsidRDefault="00995FCE" w:rsidP="008A7EA4">
            <w:pPr>
              <w:spacing w:line="360" w:lineRule="auto"/>
              <w:rPr>
                <w:sz w:val="24"/>
                <w:szCs w:val="24"/>
              </w:rPr>
            </w:pPr>
            <w:r w:rsidRPr="00563591">
              <w:rPr>
                <w:sz w:val="24"/>
                <w:szCs w:val="24"/>
              </w:rPr>
              <w:lastRenderedPageBreak/>
              <w:t xml:space="preserve">The qualifying body is </w:t>
            </w:r>
            <w:r w:rsidR="00563591" w:rsidRPr="00563591">
              <w:rPr>
                <w:sz w:val="24"/>
                <w:szCs w:val="24"/>
              </w:rPr>
              <w:t>Waterbeach</w:t>
            </w:r>
            <w:r w:rsidRPr="00563591">
              <w:rPr>
                <w:sz w:val="24"/>
                <w:szCs w:val="24"/>
              </w:rPr>
              <w:t xml:space="preserve"> Parish Council.</w:t>
            </w:r>
          </w:p>
          <w:p w14:paraId="54A6B149" w14:textId="77777777" w:rsidR="003F2F18" w:rsidRPr="00563591" w:rsidRDefault="003F2F18" w:rsidP="008A7EA4">
            <w:pPr>
              <w:spacing w:line="360" w:lineRule="auto"/>
              <w:rPr>
                <w:sz w:val="24"/>
                <w:szCs w:val="24"/>
                <w:highlight w:val="yellow"/>
              </w:rPr>
            </w:pPr>
          </w:p>
          <w:p w14:paraId="186DD2D4" w14:textId="332DB65E" w:rsidR="008E167D" w:rsidRPr="00563591" w:rsidRDefault="001D7BAD" w:rsidP="008A7EA4">
            <w:pPr>
              <w:spacing w:line="360" w:lineRule="auto"/>
              <w:rPr>
                <w:sz w:val="24"/>
                <w:szCs w:val="24"/>
              </w:rPr>
            </w:pPr>
            <w:r>
              <w:rPr>
                <w:sz w:val="24"/>
                <w:szCs w:val="24"/>
              </w:rPr>
              <w:t>Waterbeach</w:t>
            </w:r>
            <w:r w:rsidR="00F21BBB" w:rsidRPr="00563591">
              <w:rPr>
                <w:sz w:val="24"/>
                <w:szCs w:val="24"/>
              </w:rPr>
              <w:t xml:space="preserve"> Parish Council first decided to develop a neighbourhood plan in </w:t>
            </w:r>
            <w:r w:rsidR="00591A89">
              <w:rPr>
                <w:sz w:val="24"/>
                <w:szCs w:val="24"/>
              </w:rPr>
              <w:t xml:space="preserve">Spring </w:t>
            </w:r>
            <w:r w:rsidR="00F21BBB" w:rsidRPr="00563591">
              <w:rPr>
                <w:sz w:val="24"/>
                <w:szCs w:val="24"/>
              </w:rPr>
              <w:t>201</w:t>
            </w:r>
            <w:r w:rsidR="008E167D" w:rsidRPr="00563591">
              <w:rPr>
                <w:sz w:val="24"/>
                <w:szCs w:val="24"/>
              </w:rPr>
              <w:t>5</w:t>
            </w:r>
            <w:r w:rsidR="00360C5F">
              <w:rPr>
                <w:sz w:val="24"/>
                <w:szCs w:val="24"/>
              </w:rPr>
              <w:t xml:space="preserve"> and discussed with South Cambridgeshire District Council the relationship this would have with the </w:t>
            </w:r>
            <w:r w:rsidR="00DA6FC1">
              <w:rPr>
                <w:sz w:val="24"/>
                <w:szCs w:val="24"/>
              </w:rPr>
              <w:t xml:space="preserve">proposed </w:t>
            </w:r>
            <w:r w:rsidR="00360C5F">
              <w:rPr>
                <w:sz w:val="24"/>
                <w:szCs w:val="24"/>
              </w:rPr>
              <w:t>strategic housing site identified within their parish</w:t>
            </w:r>
            <w:r w:rsidR="00591A89">
              <w:rPr>
                <w:sz w:val="24"/>
                <w:szCs w:val="24"/>
              </w:rPr>
              <w:t xml:space="preserve"> in</w:t>
            </w:r>
            <w:r w:rsidR="006657AD">
              <w:rPr>
                <w:sz w:val="24"/>
                <w:szCs w:val="24"/>
              </w:rPr>
              <w:t xml:space="preserve"> the</w:t>
            </w:r>
            <w:r w:rsidR="00591A89">
              <w:rPr>
                <w:sz w:val="24"/>
                <w:szCs w:val="24"/>
              </w:rPr>
              <w:t xml:space="preserve"> emerging Local Plan</w:t>
            </w:r>
            <w:r w:rsidR="006657AD">
              <w:rPr>
                <w:sz w:val="24"/>
                <w:szCs w:val="24"/>
              </w:rPr>
              <w:t xml:space="preserve"> for the district</w:t>
            </w:r>
            <w:r w:rsidR="00360C5F">
              <w:rPr>
                <w:sz w:val="24"/>
                <w:szCs w:val="24"/>
              </w:rPr>
              <w:t>.</w:t>
            </w:r>
            <w:r w:rsidR="00591A89">
              <w:rPr>
                <w:sz w:val="24"/>
                <w:szCs w:val="24"/>
              </w:rPr>
              <w:t xml:space="preserve"> (</w:t>
            </w:r>
            <w:r w:rsidR="00360C5F">
              <w:rPr>
                <w:sz w:val="24"/>
                <w:szCs w:val="24"/>
              </w:rPr>
              <w:t>This site has subsequently been allocated in the adopted South Cambridgeshire Local Plan.</w:t>
            </w:r>
            <w:r w:rsidR="00591A89">
              <w:rPr>
                <w:sz w:val="24"/>
                <w:szCs w:val="24"/>
              </w:rPr>
              <w:t>)</w:t>
            </w:r>
            <w:r w:rsidR="00360C5F">
              <w:rPr>
                <w:sz w:val="24"/>
                <w:szCs w:val="24"/>
              </w:rPr>
              <w:t xml:space="preserve"> </w:t>
            </w:r>
            <w:r w:rsidR="008E167D" w:rsidRPr="00563591">
              <w:rPr>
                <w:sz w:val="24"/>
                <w:szCs w:val="24"/>
              </w:rPr>
              <w:t xml:space="preserve"> </w:t>
            </w:r>
          </w:p>
          <w:p w14:paraId="0507A5B1" w14:textId="77777777" w:rsidR="008E167D" w:rsidRPr="00563591" w:rsidRDefault="008E167D" w:rsidP="008A7EA4">
            <w:pPr>
              <w:spacing w:line="360" w:lineRule="auto"/>
              <w:rPr>
                <w:sz w:val="24"/>
                <w:szCs w:val="24"/>
              </w:rPr>
            </w:pPr>
          </w:p>
          <w:p w14:paraId="7FA03EBA" w14:textId="77777777" w:rsidR="00280408" w:rsidRDefault="008E167D" w:rsidP="008A7EA4">
            <w:pPr>
              <w:spacing w:line="360" w:lineRule="auto"/>
              <w:rPr>
                <w:sz w:val="24"/>
                <w:szCs w:val="24"/>
              </w:rPr>
            </w:pPr>
            <w:r w:rsidRPr="00563591">
              <w:rPr>
                <w:sz w:val="24"/>
                <w:szCs w:val="24"/>
              </w:rPr>
              <w:t xml:space="preserve">The neighbourhood area was designated on </w:t>
            </w:r>
            <w:r w:rsidR="00360C5F">
              <w:rPr>
                <w:sz w:val="24"/>
                <w:szCs w:val="24"/>
              </w:rPr>
              <w:t>10 August</w:t>
            </w:r>
            <w:r w:rsidRPr="00563591">
              <w:rPr>
                <w:sz w:val="24"/>
                <w:szCs w:val="24"/>
              </w:rPr>
              <w:t xml:space="preserve"> 2015 which follows the parish boundary. </w:t>
            </w:r>
            <w:r w:rsidR="00360C5F">
              <w:rPr>
                <w:sz w:val="24"/>
                <w:szCs w:val="24"/>
              </w:rPr>
              <w:t xml:space="preserve">At a meeting of the Parish Council on 18 August 2015 a joint working agreement was agreed between Waterbeach Parish </w:t>
            </w:r>
            <w:r w:rsidR="00360C5F">
              <w:rPr>
                <w:sz w:val="24"/>
                <w:szCs w:val="24"/>
              </w:rPr>
              <w:lastRenderedPageBreak/>
              <w:t xml:space="preserve">Council and South Cambridgeshire District Council setting out how the two councils would work together. </w:t>
            </w:r>
            <w:r w:rsidR="008B101F" w:rsidRPr="00563591">
              <w:rPr>
                <w:sz w:val="24"/>
                <w:szCs w:val="24"/>
              </w:rPr>
              <w:t xml:space="preserve"> </w:t>
            </w:r>
          </w:p>
          <w:p w14:paraId="510CF392" w14:textId="77777777" w:rsidR="00280408" w:rsidRDefault="00280408" w:rsidP="008A7EA4">
            <w:pPr>
              <w:spacing w:line="360" w:lineRule="auto"/>
              <w:rPr>
                <w:sz w:val="24"/>
                <w:szCs w:val="24"/>
              </w:rPr>
            </w:pPr>
          </w:p>
          <w:p w14:paraId="1DD6E30A" w14:textId="67B31739" w:rsidR="003E2409" w:rsidRPr="003E2409" w:rsidRDefault="00591A89" w:rsidP="003E2409">
            <w:pPr>
              <w:spacing w:line="360" w:lineRule="auto"/>
              <w:rPr>
                <w:sz w:val="24"/>
                <w:szCs w:val="24"/>
              </w:rPr>
            </w:pPr>
            <w:r>
              <w:rPr>
                <w:sz w:val="24"/>
                <w:szCs w:val="24"/>
              </w:rPr>
              <w:t xml:space="preserve">A working group for </w:t>
            </w:r>
            <w:r w:rsidR="00515862">
              <w:rPr>
                <w:sz w:val="24"/>
                <w:szCs w:val="24"/>
              </w:rPr>
              <w:t>the neighbourhood</w:t>
            </w:r>
            <w:r w:rsidR="00280408">
              <w:rPr>
                <w:sz w:val="24"/>
                <w:szCs w:val="24"/>
              </w:rPr>
              <w:t xml:space="preserve"> </w:t>
            </w:r>
            <w:r>
              <w:rPr>
                <w:sz w:val="24"/>
                <w:szCs w:val="24"/>
              </w:rPr>
              <w:t>plan was set up during 201</w:t>
            </w:r>
            <w:r w:rsidR="003E2409">
              <w:rPr>
                <w:sz w:val="24"/>
                <w:szCs w:val="24"/>
              </w:rPr>
              <w:t>5</w:t>
            </w:r>
            <w:r w:rsidR="00360C5F">
              <w:rPr>
                <w:sz w:val="24"/>
                <w:szCs w:val="24"/>
              </w:rPr>
              <w:t xml:space="preserve"> </w:t>
            </w:r>
            <w:r w:rsidR="003E2409" w:rsidRPr="003E2409">
              <w:rPr>
                <w:sz w:val="24"/>
                <w:szCs w:val="24"/>
              </w:rPr>
              <w:t>initially drawn from volunteers of the Parish, each main</w:t>
            </w:r>
            <w:r w:rsidR="009640A2">
              <w:rPr>
                <w:sz w:val="24"/>
                <w:szCs w:val="24"/>
              </w:rPr>
              <w:t xml:space="preserve"> </w:t>
            </w:r>
            <w:r w:rsidR="003E2409" w:rsidRPr="003E2409">
              <w:rPr>
                <w:sz w:val="24"/>
                <w:szCs w:val="24"/>
              </w:rPr>
              <w:t xml:space="preserve">habitation area of the parish </w:t>
            </w:r>
            <w:r w:rsidR="009640A2">
              <w:rPr>
                <w:sz w:val="24"/>
                <w:szCs w:val="24"/>
              </w:rPr>
              <w:t>was</w:t>
            </w:r>
            <w:r w:rsidR="003E2409" w:rsidRPr="003E2409">
              <w:rPr>
                <w:sz w:val="24"/>
                <w:szCs w:val="24"/>
              </w:rPr>
              <w:t xml:space="preserve"> represented on the steering group and </w:t>
            </w:r>
            <w:r w:rsidR="00982C2F" w:rsidRPr="003E2409">
              <w:rPr>
                <w:sz w:val="24"/>
                <w:szCs w:val="24"/>
              </w:rPr>
              <w:t>several</w:t>
            </w:r>
            <w:r w:rsidR="003E2409" w:rsidRPr="003E2409">
              <w:rPr>
                <w:sz w:val="24"/>
                <w:szCs w:val="24"/>
              </w:rPr>
              <w:t xml:space="preserve"> residents</w:t>
            </w:r>
          </w:p>
          <w:p w14:paraId="0A4A630E" w14:textId="12800300" w:rsidR="00F21BBB" w:rsidRPr="00563591" w:rsidRDefault="003E2409" w:rsidP="003E2409">
            <w:pPr>
              <w:spacing w:line="360" w:lineRule="auto"/>
              <w:rPr>
                <w:sz w:val="24"/>
                <w:szCs w:val="24"/>
              </w:rPr>
            </w:pPr>
            <w:r w:rsidRPr="003E2409">
              <w:rPr>
                <w:sz w:val="24"/>
                <w:szCs w:val="24"/>
              </w:rPr>
              <w:t xml:space="preserve">with specific skills </w:t>
            </w:r>
            <w:r w:rsidR="009640A2">
              <w:rPr>
                <w:sz w:val="24"/>
                <w:szCs w:val="24"/>
              </w:rPr>
              <w:t>were</w:t>
            </w:r>
            <w:r w:rsidRPr="003E2409">
              <w:rPr>
                <w:sz w:val="24"/>
                <w:szCs w:val="24"/>
              </w:rPr>
              <w:t xml:space="preserve"> co-opted to help on occasion throughout the preparation of</w:t>
            </w:r>
            <w:r w:rsidR="009640A2">
              <w:rPr>
                <w:sz w:val="24"/>
                <w:szCs w:val="24"/>
              </w:rPr>
              <w:t xml:space="preserve"> </w:t>
            </w:r>
            <w:r w:rsidRPr="003E2409">
              <w:rPr>
                <w:sz w:val="24"/>
                <w:szCs w:val="24"/>
              </w:rPr>
              <w:t xml:space="preserve">the plan. </w:t>
            </w:r>
            <w:r w:rsidR="009640A2">
              <w:rPr>
                <w:sz w:val="24"/>
                <w:szCs w:val="24"/>
              </w:rPr>
              <w:t>The</w:t>
            </w:r>
            <w:r w:rsidRPr="003E2409">
              <w:rPr>
                <w:sz w:val="24"/>
                <w:szCs w:val="24"/>
              </w:rPr>
              <w:t xml:space="preserve"> core team consist</w:t>
            </w:r>
            <w:r w:rsidR="009640A2">
              <w:rPr>
                <w:sz w:val="24"/>
                <w:szCs w:val="24"/>
              </w:rPr>
              <w:t>ed</w:t>
            </w:r>
            <w:r w:rsidRPr="003E2409">
              <w:rPr>
                <w:sz w:val="24"/>
                <w:szCs w:val="24"/>
              </w:rPr>
              <w:t xml:space="preserve"> of villagers who h</w:t>
            </w:r>
            <w:r w:rsidR="00267EFD">
              <w:rPr>
                <w:sz w:val="24"/>
                <w:szCs w:val="24"/>
              </w:rPr>
              <w:t>o</w:t>
            </w:r>
            <w:r w:rsidRPr="003E2409">
              <w:rPr>
                <w:sz w:val="24"/>
                <w:szCs w:val="24"/>
              </w:rPr>
              <w:t>ld dear the best interest of Waterbeach,</w:t>
            </w:r>
            <w:r w:rsidR="00982C2F">
              <w:rPr>
                <w:sz w:val="24"/>
                <w:szCs w:val="24"/>
              </w:rPr>
              <w:t xml:space="preserve"> </w:t>
            </w:r>
            <w:r w:rsidRPr="003E2409">
              <w:rPr>
                <w:sz w:val="24"/>
                <w:szCs w:val="24"/>
              </w:rPr>
              <w:t xml:space="preserve">along with a technical expert / consultant </w:t>
            </w:r>
            <w:r w:rsidR="00267EFD">
              <w:rPr>
                <w:sz w:val="24"/>
                <w:szCs w:val="24"/>
              </w:rPr>
              <w:t>who</w:t>
            </w:r>
            <w:r w:rsidRPr="003E2409">
              <w:rPr>
                <w:sz w:val="24"/>
                <w:szCs w:val="24"/>
              </w:rPr>
              <w:t xml:space="preserve"> guide</w:t>
            </w:r>
            <w:r w:rsidR="00267EFD">
              <w:rPr>
                <w:sz w:val="24"/>
                <w:szCs w:val="24"/>
              </w:rPr>
              <w:t>d</w:t>
            </w:r>
            <w:r w:rsidRPr="003E2409">
              <w:rPr>
                <w:sz w:val="24"/>
                <w:szCs w:val="24"/>
              </w:rPr>
              <w:t xml:space="preserve"> </w:t>
            </w:r>
            <w:r w:rsidR="00982C2F">
              <w:rPr>
                <w:sz w:val="24"/>
                <w:szCs w:val="24"/>
              </w:rPr>
              <w:t>them</w:t>
            </w:r>
            <w:r w:rsidRPr="003E2409">
              <w:rPr>
                <w:sz w:val="24"/>
                <w:szCs w:val="24"/>
              </w:rPr>
              <w:t xml:space="preserve"> through the process.</w:t>
            </w:r>
            <w:r w:rsidR="00982C2F">
              <w:rPr>
                <w:sz w:val="24"/>
                <w:szCs w:val="24"/>
              </w:rPr>
              <w:t xml:space="preserve"> </w:t>
            </w:r>
            <w:r w:rsidR="00C16C94">
              <w:rPr>
                <w:sz w:val="24"/>
                <w:szCs w:val="24"/>
              </w:rPr>
              <w:t xml:space="preserve">The Vice Chair of the parish council </w:t>
            </w:r>
            <w:r w:rsidR="00F535F1">
              <w:rPr>
                <w:sz w:val="24"/>
                <w:szCs w:val="24"/>
              </w:rPr>
              <w:t xml:space="preserve">also chaired the NP steering group to provide a link between the NP and the parish council. </w:t>
            </w:r>
            <w:r w:rsidR="005928C3" w:rsidRPr="00563591">
              <w:rPr>
                <w:sz w:val="24"/>
                <w:szCs w:val="24"/>
              </w:rPr>
              <w:t>The</w:t>
            </w:r>
            <w:r w:rsidR="00360C5F">
              <w:rPr>
                <w:sz w:val="24"/>
                <w:szCs w:val="24"/>
              </w:rPr>
              <w:t xml:space="preserve"> group</w:t>
            </w:r>
            <w:r w:rsidR="005928C3" w:rsidRPr="00563591">
              <w:rPr>
                <w:sz w:val="24"/>
                <w:szCs w:val="24"/>
              </w:rPr>
              <w:t xml:space="preserve"> reported back regularly to the full council. </w:t>
            </w:r>
          </w:p>
        </w:tc>
        <w:tc>
          <w:tcPr>
            <w:tcW w:w="2159" w:type="dxa"/>
          </w:tcPr>
          <w:p w14:paraId="62C6CAC1" w14:textId="77777777" w:rsidR="00995FCE" w:rsidRPr="00563591" w:rsidRDefault="00995FCE" w:rsidP="008A7EA4">
            <w:pPr>
              <w:spacing w:line="360" w:lineRule="auto"/>
              <w:rPr>
                <w:sz w:val="24"/>
                <w:szCs w:val="24"/>
              </w:rPr>
            </w:pPr>
            <w:r w:rsidRPr="00563591">
              <w:rPr>
                <w:sz w:val="24"/>
                <w:szCs w:val="24"/>
              </w:rPr>
              <w:lastRenderedPageBreak/>
              <w:t>Yes</w:t>
            </w:r>
          </w:p>
        </w:tc>
      </w:tr>
      <w:tr w:rsidR="00995FCE" w:rsidRPr="00563591" w14:paraId="577C423A" w14:textId="77777777" w:rsidTr="00995FCE">
        <w:tc>
          <w:tcPr>
            <w:tcW w:w="5637" w:type="dxa"/>
          </w:tcPr>
          <w:p w14:paraId="351D1E71" w14:textId="77777777" w:rsidR="00995FCE" w:rsidRPr="00563591" w:rsidRDefault="00995FCE" w:rsidP="008A7EA4">
            <w:pPr>
              <w:spacing w:line="360" w:lineRule="auto"/>
              <w:rPr>
                <w:sz w:val="24"/>
                <w:szCs w:val="24"/>
              </w:rPr>
            </w:pPr>
            <w:r w:rsidRPr="00563591">
              <w:rPr>
                <w:rFonts w:cs="Arial"/>
                <w:color w:val="231F20"/>
                <w:sz w:val="24"/>
                <w:szCs w:val="24"/>
              </w:rPr>
              <w:t xml:space="preserve">Section 38A of the Town and Country Planning Act 1990 as amended (by the Planning and Compulsory Purchase Act 2004 and the Localism Act 2011) defines a neighbourhood development </w:t>
            </w:r>
            <w:r w:rsidRPr="00563591">
              <w:rPr>
                <w:rFonts w:cs="Arial"/>
                <w:color w:val="231F20"/>
                <w:sz w:val="24"/>
                <w:szCs w:val="24"/>
              </w:rPr>
              <w:lastRenderedPageBreak/>
              <w:t>plan as “a plan which sets out policies (however expressed) in relation to the development and use of land in the whole or any part of a particular neighbourhood area specified in the plan.”</w:t>
            </w:r>
          </w:p>
        </w:tc>
        <w:tc>
          <w:tcPr>
            <w:tcW w:w="6378" w:type="dxa"/>
          </w:tcPr>
          <w:p w14:paraId="3925A0F4" w14:textId="0FE598A9" w:rsidR="00995FCE" w:rsidRPr="00563591" w:rsidRDefault="00995FCE" w:rsidP="008A7EA4">
            <w:pPr>
              <w:spacing w:line="360" w:lineRule="auto"/>
              <w:rPr>
                <w:sz w:val="24"/>
                <w:szCs w:val="24"/>
              </w:rPr>
            </w:pPr>
            <w:r w:rsidRPr="00563591">
              <w:rPr>
                <w:rFonts w:cs="Arial"/>
                <w:color w:val="231F20"/>
                <w:sz w:val="24"/>
                <w:szCs w:val="24"/>
              </w:rPr>
              <w:lastRenderedPageBreak/>
              <w:t xml:space="preserve">The submission version of the </w:t>
            </w:r>
            <w:r w:rsidR="00591A89">
              <w:rPr>
                <w:rFonts w:cs="Arial"/>
                <w:color w:val="231F20"/>
                <w:sz w:val="24"/>
                <w:szCs w:val="24"/>
              </w:rPr>
              <w:t>Waterbeach</w:t>
            </w:r>
            <w:r w:rsidRPr="00563591">
              <w:rPr>
                <w:rFonts w:cs="Arial"/>
                <w:color w:val="231F20"/>
                <w:sz w:val="24"/>
                <w:szCs w:val="24"/>
              </w:rPr>
              <w:t xml:space="preserve"> Neighbourhood Plan meets this definition of a neighbourhood plan.</w:t>
            </w:r>
          </w:p>
        </w:tc>
        <w:tc>
          <w:tcPr>
            <w:tcW w:w="2159" w:type="dxa"/>
          </w:tcPr>
          <w:p w14:paraId="739C8A8D" w14:textId="77777777" w:rsidR="00995FCE" w:rsidRPr="00563591" w:rsidRDefault="00995FCE" w:rsidP="008A7EA4">
            <w:pPr>
              <w:spacing w:line="360" w:lineRule="auto"/>
              <w:rPr>
                <w:sz w:val="24"/>
                <w:szCs w:val="24"/>
              </w:rPr>
            </w:pPr>
            <w:r w:rsidRPr="00563591">
              <w:rPr>
                <w:sz w:val="24"/>
                <w:szCs w:val="24"/>
              </w:rPr>
              <w:t>Yes</w:t>
            </w:r>
          </w:p>
        </w:tc>
      </w:tr>
      <w:tr w:rsidR="00995FCE" w:rsidRPr="00563591" w14:paraId="28796E54" w14:textId="77777777" w:rsidTr="00995FCE">
        <w:tc>
          <w:tcPr>
            <w:tcW w:w="5637" w:type="dxa"/>
          </w:tcPr>
          <w:p w14:paraId="5505806A" w14:textId="77777777" w:rsidR="00995FCE" w:rsidRPr="00563591" w:rsidRDefault="00995FCE" w:rsidP="008A7EA4">
            <w:pPr>
              <w:spacing w:line="360" w:lineRule="auto"/>
              <w:rPr>
                <w:sz w:val="24"/>
                <w:szCs w:val="24"/>
              </w:rPr>
            </w:pPr>
            <w:r w:rsidRPr="00563591">
              <w:rPr>
                <w:sz w:val="24"/>
                <w:szCs w:val="24"/>
              </w:rPr>
              <w:t>SI 2012/637 The Neighbourhood Planning (General) Regulations 2012, Regulation 15 – A qualifying body is required to submit:</w:t>
            </w:r>
          </w:p>
          <w:p w14:paraId="4F1C3813" w14:textId="77777777" w:rsidR="00995FCE" w:rsidRPr="00563591" w:rsidRDefault="00995FCE" w:rsidP="008A7EA4">
            <w:pPr>
              <w:spacing w:line="360" w:lineRule="auto"/>
              <w:rPr>
                <w:sz w:val="24"/>
                <w:szCs w:val="24"/>
              </w:rPr>
            </w:pPr>
          </w:p>
          <w:p w14:paraId="08A01B61" w14:textId="77777777" w:rsidR="00995FCE" w:rsidRPr="00563591" w:rsidRDefault="00995FCE" w:rsidP="008A7EA4">
            <w:pPr>
              <w:spacing w:line="360" w:lineRule="auto"/>
              <w:rPr>
                <w:i/>
                <w:sz w:val="24"/>
                <w:szCs w:val="24"/>
              </w:rPr>
            </w:pPr>
            <w:r w:rsidRPr="00563591">
              <w:rPr>
                <w:i/>
                <w:sz w:val="24"/>
                <w:szCs w:val="24"/>
              </w:rPr>
              <w:t>(a) A map or statement which identifies the area to which the proposed neighbourhood development plan relates.</w:t>
            </w:r>
          </w:p>
        </w:tc>
        <w:tc>
          <w:tcPr>
            <w:tcW w:w="6378" w:type="dxa"/>
          </w:tcPr>
          <w:p w14:paraId="01470FFD" w14:textId="5A70D442" w:rsidR="00995FCE" w:rsidRPr="00563591" w:rsidRDefault="00995FCE" w:rsidP="008A7EA4">
            <w:pPr>
              <w:spacing w:line="360" w:lineRule="auto"/>
              <w:rPr>
                <w:sz w:val="24"/>
                <w:szCs w:val="24"/>
              </w:rPr>
            </w:pPr>
            <w:r w:rsidRPr="00563591">
              <w:rPr>
                <w:sz w:val="24"/>
                <w:szCs w:val="24"/>
              </w:rPr>
              <w:t>The designated neighbourhood area is shown</w:t>
            </w:r>
            <w:r w:rsidR="003A6D9A" w:rsidRPr="00563591">
              <w:rPr>
                <w:sz w:val="24"/>
                <w:szCs w:val="24"/>
              </w:rPr>
              <w:t xml:space="preserve"> in </w:t>
            </w:r>
            <w:r w:rsidR="00FF64B3">
              <w:rPr>
                <w:sz w:val="24"/>
                <w:szCs w:val="24"/>
              </w:rPr>
              <w:t xml:space="preserve">Map </w:t>
            </w:r>
            <w:r w:rsidR="007A6782">
              <w:rPr>
                <w:sz w:val="24"/>
                <w:szCs w:val="24"/>
              </w:rPr>
              <w:t xml:space="preserve">3.2 on </w:t>
            </w:r>
            <w:r w:rsidR="003A6D9A" w:rsidRPr="007A6782">
              <w:rPr>
                <w:sz w:val="24"/>
                <w:szCs w:val="24"/>
              </w:rPr>
              <w:t>page</w:t>
            </w:r>
            <w:r w:rsidR="007A6782" w:rsidRPr="007A6782">
              <w:rPr>
                <w:sz w:val="24"/>
                <w:szCs w:val="24"/>
              </w:rPr>
              <w:t xml:space="preserve"> 15 of</w:t>
            </w:r>
            <w:r w:rsidRPr="007A6782">
              <w:rPr>
                <w:sz w:val="24"/>
                <w:szCs w:val="24"/>
              </w:rPr>
              <w:t xml:space="preserve"> the submission version</w:t>
            </w:r>
            <w:r w:rsidRPr="00563591">
              <w:rPr>
                <w:sz w:val="24"/>
                <w:szCs w:val="24"/>
              </w:rPr>
              <w:t xml:space="preserve"> the </w:t>
            </w:r>
            <w:r w:rsidR="00591A89">
              <w:rPr>
                <w:sz w:val="24"/>
                <w:szCs w:val="24"/>
              </w:rPr>
              <w:t>Waterbeach</w:t>
            </w:r>
            <w:r w:rsidR="003F2F18" w:rsidRPr="00563591">
              <w:rPr>
                <w:sz w:val="24"/>
                <w:szCs w:val="24"/>
              </w:rPr>
              <w:t xml:space="preserve"> </w:t>
            </w:r>
            <w:r w:rsidR="00457778" w:rsidRPr="00563591">
              <w:rPr>
                <w:sz w:val="24"/>
                <w:szCs w:val="24"/>
              </w:rPr>
              <w:t xml:space="preserve">Neighbourhood Plan. </w:t>
            </w:r>
          </w:p>
        </w:tc>
        <w:tc>
          <w:tcPr>
            <w:tcW w:w="2159" w:type="dxa"/>
          </w:tcPr>
          <w:p w14:paraId="1E3D15C8" w14:textId="77777777" w:rsidR="00995FCE" w:rsidRPr="00563591" w:rsidRDefault="00995FCE" w:rsidP="008A7EA4">
            <w:pPr>
              <w:spacing w:line="360" w:lineRule="auto"/>
              <w:rPr>
                <w:sz w:val="24"/>
                <w:szCs w:val="24"/>
              </w:rPr>
            </w:pPr>
            <w:r w:rsidRPr="00563591">
              <w:rPr>
                <w:sz w:val="24"/>
                <w:szCs w:val="24"/>
              </w:rPr>
              <w:t>Yes</w:t>
            </w:r>
          </w:p>
        </w:tc>
      </w:tr>
      <w:tr w:rsidR="00995FCE" w:rsidRPr="00563591" w14:paraId="65697E2A" w14:textId="77777777" w:rsidTr="00995FCE">
        <w:tc>
          <w:tcPr>
            <w:tcW w:w="5637" w:type="dxa"/>
          </w:tcPr>
          <w:p w14:paraId="558A553C" w14:textId="77777777" w:rsidR="00995FCE" w:rsidRPr="00563591" w:rsidRDefault="00995FCE" w:rsidP="008A7EA4">
            <w:pPr>
              <w:spacing w:line="360" w:lineRule="auto"/>
              <w:rPr>
                <w:i/>
                <w:sz w:val="24"/>
                <w:szCs w:val="24"/>
              </w:rPr>
            </w:pPr>
            <w:r w:rsidRPr="00563591">
              <w:rPr>
                <w:i/>
                <w:sz w:val="24"/>
                <w:szCs w:val="24"/>
              </w:rPr>
              <w:t xml:space="preserve">(b) A consultation </w:t>
            </w:r>
            <w:proofErr w:type="gramStart"/>
            <w:r w:rsidRPr="00563591">
              <w:rPr>
                <w:i/>
                <w:sz w:val="24"/>
                <w:szCs w:val="24"/>
              </w:rPr>
              <w:t>statement</w:t>
            </w:r>
            <w:proofErr w:type="gramEnd"/>
            <w:r w:rsidRPr="00563591">
              <w:rPr>
                <w:i/>
                <w:sz w:val="24"/>
                <w:szCs w:val="24"/>
              </w:rPr>
              <w:t>.</w:t>
            </w:r>
          </w:p>
          <w:p w14:paraId="36F4B048" w14:textId="77777777" w:rsidR="00995FCE" w:rsidRPr="00563591" w:rsidRDefault="00995FCE" w:rsidP="008A7EA4">
            <w:pPr>
              <w:spacing w:line="360" w:lineRule="auto"/>
              <w:rPr>
                <w:i/>
                <w:sz w:val="24"/>
                <w:szCs w:val="24"/>
              </w:rPr>
            </w:pPr>
          </w:p>
          <w:p w14:paraId="641B9544" w14:textId="77777777" w:rsidR="00995FCE" w:rsidRPr="00563591" w:rsidRDefault="009D6B5A" w:rsidP="008A7EA4">
            <w:pPr>
              <w:spacing w:line="360" w:lineRule="auto"/>
              <w:rPr>
                <w:sz w:val="24"/>
                <w:szCs w:val="24"/>
              </w:rPr>
            </w:pPr>
            <w:r w:rsidRPr="00563591">
              <w:rPr>
                <w:sz w:val="24"/>
                <w:szCs w:val="24"/>
              </w:rPr>
              <w:t>T</w:t>
            </w:r>
            <w:r w:rsidR="00995FCE" w:rsidRPr="00563591">
              <w:rPr>
                <w:sz w:val="24"/>
                <w:szCs w:val="24"/>
              </w:rPr>
              <w:t xml:space="preserve">he statement should contain details of those consulted, how they were consulted, summarises the main issues and concerns raised and how these have been considered, and where relevant, addressed in </w:t>
            </w:r>
            <w:r w:rsidRPr="00563591">
              <w:rPr>
                <w:sz w:val="24"/>
                <w:szCs w:val="24"/>
              </w:rPr>
              <w:t>the proposed Neighbourhood Plan</w:t>
            </w:r>
            <w:r w:rsidR="00995FCE" w:rsidRPr="00563591">
              <w:rPr>
                <w:sz w:val="24"/>
                <w:szCs w:val="24"/>
              </w:rPr>
              <w:t>.</w:t>
            </w:r>
          </w:p>
        </w:tc>
        <w:tc>
          <w:tcPr>
            <w:tcW w:w="6378" w:type="dxa"/>
          </w:tcPr>
          <w:p w14:paraId="113A4D1D" w14:textId="77777777" w:rsidR="00995FCE" w:rsidRPr="00563591" w:rsidRDefault="00995FCE" w:rsidP="008A7EA4">
            <w:pPr>
              <w:spacing w:line="360" w:lineRule="auto"/>
              <w:rPr>
                <w:sz w:val="24"/>
                <w:szCs w:val="24"/>
              </w:rPr>
            </w:pPr>
            <w:r w:rsidRPr="00563591">
              <w:rPr>
                <w:sz w:val="24"/>
                <w:szCs w:val="24"/>
              </w:rPr>
              <w:t>A Consultation Statement accompanies the submission Neighbourhood Plan. The Consultation Statement includes:</w:t>
            </w:r>
          </w:p>
          <w:p w14:paraId="04AD0B3C" w14:textId="77777777" w:rsidR="00995FCE" w:rsidRPr="00563591" w:rsidRDefault="00995FCE" w:rsidP="008A7EA4">
            <w:pPr>
              <w:numPr>
                <w:ilvl w:val="0"/>
                <w:numId w:val="1"/>
              </w:numPr>
              <w:spacing w:line="360" w:lineRule="auto"/>
              <w:rPr>
                <w:sz w:val="24"/>
                <w:szCs w:val="24"/>
              </w:rPr>
            </w:pPr>
            <w:r w:rsidRPr="00563591">
              <w:rPr>
                <w:sz w:val="24"/>
                <w:szCs w:val="24"/>
              </w:rPr>
              <w:t xml:space="preserve">information on how the community have been kept informed throughout the production of the neighbourhood </w:t>
            </w:r>
            <w:proofErr w:type="gramStart"/>
            <w:r w:rsidRPr="00563591">
              <w:rPr>
                <w:sz w:val="24"/>
                <w:szCs w:val="24"/>
              </w:rPr>
              <w:t>plan;</w:t>
            </w:r>
            <w:proofErr w:type="gramEnd"/>
          </w:p>
          <w:p w14:paraId="7D94AB06" w14:textId="77777777" w:rsidR="00995FCE" w:rsidRPr="00563591" w:rsidRDefault="00995FCE" w:rsidP="008A7EA4">
            <w:pPr>
              <w:numPr>
                <w:ilvl w:val="0"/>
                <w:numId w:val="1"/>
              </w:numPr>
              <w:spacing w:line="360" w:lineRule="auto"/>
              <w:rPr>
                <w:sz w:val="24"/>
                <w:szCs w:val="24"/>
              </w:rPr>
            </w:pPr>
            <w:r w:rsidRPr="00563591">
              <w:rPr>
                <w:sz w:val="24"/>
                <w:szCs w:val="24"/>
              </w:rPr>
              <w:t xml:space="preserve">the details of those consulted and how they were </w:t>
            </w:r>
            <w:proofErr w:type="gramStart"/>
            <w:r w:rsidRPr="00563591">
              <w:rPr>
                <w:sz w:val="24"/>
                <w:szCs w:val="24"/>
              </w:rPr>
              <w:t>consulted;</w:t>
            </w:r>
            <w:proofErr w:type="gramEnd"/>
          </w:p>
          <w:p w14:paraId="4B720827" w14:textId="77777777" w:rsidR="00995FCE" w:rsidRPr="00563591" w:rsidRDefault="00995FCE" w:rsidP="008A7EA4">
            <w:pPr>
              <w:numPr>
                <w:ilvl w:val="0"/>
                <w:numId w:val="1"/>
              </w:numPr>
              <w:spacing w:line="360" w:lineRule="auto"/>
              <w:rPr>
                <w:sz w:val="24"/>
                <w:szCs w:val="24"/>
              </w:rPr>
            </w:pPr>
            <w:r w:rsidRPr="00563591">
              <w:rPr>
                <w:sz w:val="24"/>
                <w:szCs w:val="24"/>
              </w:rPr>
              <w:lastRenderedPageBreak/>
              <w:t>a summary of the issues and concerns raised; and</w:t>
            </w:r>
          </w:p>
          <w:p w14:paraId="70AFAD7C" w14:textId="77777777" w:rsidR="00995FCE" w:rsidRPr="00563591" w:rsidRDefault="00995FCE" w:rsidP="008A7EA4">
            <w:pPr>
              <w:numPr>
                <w:ilvl w:val="0"/>
                <w:numId w:val="1"/>
              </w:numPr>
              <w:spacing w:line="360" w:lineRule="auto"/>
              <w:rPr>
                <w:sz w:val="24"/>
                <w:szCs w:val="24"/>
              </w:rPr>
            </w:pPr>
            <w:r w:rsidRPr="00563591">
              <w:rPr>
                <w:sz w:val="24"/>
                <w:szCs w:val="24"/>
              </w:rPr>
              <w:t>details on how the issues and concerns have been considered and where relevant, addressed.</w:t>
            </w:r>
          </w:p>
        </w:tc>
        <w:tc>
          <w:tcPr>
            <w:tcW w:w="2159" w:type="dxa"/>
          </w:tcPr>
          <w:p w14:paraId="1E9F6EC7" w14:textId="77777777" w:rsidR="00995FCE" w:rsidRPr="00563591" w:rsidRDefault="00995FCE" w:rsidP="008A7EA4">
            <w:pPr>
              <w:spacing w:line="360" w:lineRule="auto"/>
              <w:rPr>
                <w:sz w:val="24"/>
                <w:szCs w:val="24"/>
              </w:rPr>
            </w:pPr>
            <w:r w:rsidRPr="00563591">
              <w:rPr>
                <w:sz w:val="24"/>
                <w:szCs w:val="24"/>
              </w:rPr>
              <w:lastRenderedPageBreak/>
              <w:t>Yes</w:t>
            </w:r>
          </w:p>
        </w:tc>
      </w:tr>
      <w:tr w:rsidR="00995FCE" w:rsidRPr="00563591" w14:paraId="03798957" w14:textId="77777777" w:rsidTr="00995FCE">
        <w:tc>
          <w:tcPr>
            <w:tcW w:w="5637" w:type="dxa"/>
          </w:tcPr>
          <w:p w14:paraId="1B1A021A" w14:textId="77777777" w:rsidR="00995FCE" w:rsidRPr="00563591" w:rsidRDefault="00995FCE" w:rsidP="008A7EA4">
            <w:pPr>
              <w:spacing w:line="360" w:lineRule="auto"/>
              <w:rPr>
                <w:sz w:val="24"/>
                <w:szCs w:val="24"/>
              </w:rPr>
            </w:pPr>
            <w:r w:rsidRPr="00563591">
              <w:rPr>
                <w:rFonts w:cs="Arial"/>
                <w:i/>
                <w:color w:val="231F20"/>
                <w:sz w:val="24"/>
                <w:szCs w:val="24"/>
              </w:rPr>
              <w:t>(c) The proposed neighbourhood development plan.</w:t>
            </w:r>
          </w:p>
        </w:tc>
        <w:tc>
          <w:tcPr>
            <w:tcW w:w="6378" w:type="dxa"/>
          </w:tcPr>
          <w:p w14:paraId="4FCF680D" w14:textId="5AD7AF2D" w:rsidR="00995FCE" w:rsidRPr="00563591" w:rsidRDefault="00995FCE" w:rsidP="008A7EA4">
            <w:pPr>
              <w:spacing w:line="360" w:lineRule="auto"/>
              <w:rPr>
                <w:sz w:val="24"/>
                <w:szCs w:val="24"/>
              </w:rPr>
            </w:pPr>
            <w:r w:rsidRPr="00563591">
              <w:rPr>
                <w:sz w:val="24"/>
                <w:szCs w:val="24"/>
              </w:rPr>
              <w:t xml:space="preserve">The Local Planning Authority received the submission Neighbourhood Plan on </w:t>
            </w:r>
            <w:r w:rsidR="00711B8F" w:rsidRPr="00711B8F">
              <w:rPr>
                <w:sz w:val="24"/>
                <w:szCs w:val="24"/>
              </w:rPr>
              <w:t>2</w:t>
            </w:r>
            <w:r w:rsidR="00382088" w:rsidRPr="00711B8F">
              <w:rPr>
                <w:sz w:val="24"/>
                <w:szCs w:val="24"/>
              </w:rPr>
              <w:t xml:space="preserve"> February 202</w:t>
            </w:r>
            <w:r w:rsidR="00711B8F" w:rsidRPr="00711B8F">
              <w:rPr>
                <w:sz w:val="24"/>
                <w:szCs w:val="24"/>
              </w:rPr>
              <w:t>1</w:t>
            </w:r>
            <w:r w:rsidR="002D2752" w:rsidRPr="00711B8F">
              <w:rPr>
                <w:sz w:val="24"/>
                <w:szCs w:val="24"/>
              </w:rPr>
              <w:t>.</w:t>
            </w:r>
          </w:p>
        </w:tc>
        <w:tc>
          <w:tcPr>
            <w:tcW w:w="2159" w:type="dxa"/>
          </w:tcPr>
          <w:p w14:paraId="62D794EF" w14:textId="77777777" w:rsidR="00995FCE" w:rsidRPr="00563591" w:rsidRDefault="00995FCE" w:rsidP="008A7EA4">
            <w:pPr>
              <w:spacing w:line="360" w:lineRule="auto"/>
              <w:rPr>
                <w:sz w:val="24"/>
                <w:szCs w:val="24"/>
              </w:rPr>
            </w:pPr>
            <w:r w:rsidRPr="00563591">
              <w:rPr>
                <w:sz w:val="24"/>
                <w:szCs w:val="24"/>
              </w:rPr>
              <w:t>Yes</w:t>
            </w:r>
          </w:p>
        </w:tc>
      </w:tr>
      <w:tr w:rsidR="00995FCE" w:rsidRPr="00563591" w14:paraId="4BD4D2C0" w14:textId="77777777" w:rsidTr="00995FCE">
        <w:tc>
          <w:tcPr>
            <w:tcW w:w="5637" w:type="dxa"/>
          </w:tcPr>
          <w:p w14:paraId="68969363" w14:textId="77777777" w:rsidR="00995FCE" w:rsidRPr="00563591" w:rsidRDefault="00995FCE" w:rsidP="008A7EA4">
            <w:pPr>
              <w:spacing w:line="360" w:lineRule="auto"/>
              <w:rPr>
                <w:i/>
                <w:sz w:val="24"/>
                <w:szCs w:val="24"/>
              </w:rPr>
            </w:pPr>
            <w:r w:rsidRPr="00563591">
              <w:rPr>
                <w:i/>
                <w:sz w:val="24"/>
                <w:szCs w:val="24"/>
              </w:rPr>
              <w:t>(d) A Statement explaining how the proposed neighbourhood development plan meets the requirements of paragraph 8 of Schedule 4B to the 1990 Act as revised by s38C of the Planning and Compulsory Purchase Act 2004, (as amended).</w:t>
            </w:r>
          </w:p>
          <w:p w14:paraId="73A1336C" w14:textId="77777777" w:rsidR="00995FCE" w:rsidRPr="00563591" w:rsidRDefault="00995FCE" w:rsidP="008A7EA4">
            <w:pPr>
              <w:spacing w:line="360" w:lineRule="auto"/>
              <w:rPr>
                <w:sz w:val="24"/>
                <w:szCs w:val="24"/>
              </w:rPr>
            </w:pPr>
          </w:p>
          <w:p w14:paraId="0A3EBD1C" w14:textId="77777777" w:rsidR="00995FCE" w:rsidRPr="00563591" w:rsidRDefault="00995FCE" w:rsidP="008A7EA4">
            <w:pPr>
              <w:spacing w:line="360" w:lineRule="auto"/>
              <w:rPr>
                <w:sz w:val="24"/>
                <w:szCs w:val="24"/>
              </w:rPr>
            </w:pPr>
            <w:r w:rsidRPr="00563591">
              <w:rPr>
                <w:sz w:val="24"/>
                <w:szCs w:val="24"/>
              </w:rPr>
              <w:t xml:space="preserve">The local planning authority </w:t>
            </w:r>
            <w:proofErr w:type="gramStart"/>
            <w:r w:rsidRPr="00563591">
              <w:rPr>
                <w:sz w:val="24"/>
                <w:szCs w:val="24"/>
              </w:rPr>
              <w:t>has to</w:t>
            </w:r>
            <w:proofErr w:type="gramEnd"/>
            <w:r w:rsidRPr="00563591">
              <w:rPr>
                <w:sz w:val="24"/>
                <w:szCs w:val="24"/>
              </w:rPr>
              <w:t xml:space="preserve"> be satisfied that a basic condition statement has been submitted.</w:t>
            </w:r>
          </w:p>
        </w:tc>
        <w:tc>
          <w:tcPr>
            <w:tcW w:w="6378" w:type="dxa"/>
          </w:tcPr>
          <w:p w14:paraId="23E98CDA" w14:textId="77777777" w:rsidR="00995FCE" w:rsidRPr="00563591" w:rsidRDefault="00995FCE" w:rsidP="008A7EA4">
            <w:pPr>
              <w:spacing w:line="360" w:lineRule="auto"/>
              <w:rPr>
                <w:sz w:val="24"/>
                <w:szCs w:val="24"/>
              </w:rPr>
            </w:pPr>
            <w:r w:rsidRPr="00563591">
              <w:rPr>
                <w:sz w:val="24"/>
                <w:szCs w:val="24"/>
              </w:rPr>
              <w:t>A Basic Conditions Statement accompanies the submission Neighbourhood Plan.</w:t>
            </w:r>
          </w:p>
          <w:p w14:paraId="51CD4B14" w14:textId="77777777" w:rsidR="00995FCE" w:rsidRPr="00563591" w:rsidRDefault="00995FCE" w:rsidP="008A7EA4">
            <w:pPr>
              <w:spacing w:line="360" w:lineRule="auto"/>
              <w:rPr>
                <w:sz w:val="24"/>
                <w:szCs w:val="24"/>
              </w:rPr>
            </w:pPr>
          </w:p>
          <w:p w14:paraId="4BC62DD5" w14:textId="73EE4A3B" w:rsidR="008D7D91" w:rsidRPr="00563591" w:rsidRDefault="00995FCE" w:rsidP="008A7EA4">
            <w:pPr>
              <w:spacing w:line="360" w:lineRule="auto"/>
              <w:rPr>
                <w:sz w:val="24"/>
                <w:szCs w:val="24"/>
              </w:rPr>
            </w:pPr>
            <w:r w:rsidRPr="00563591">
              <w:rPr>
                <w:sz w:val="24"/>
                <w:szCs w:val="24"/>
              </w:rPr>
              <w:t>The stateme</w:t>
            </w:r>
            <w:r w:rsidR="008D7D91" w:rsidRPr="00563591">
              <w:rPr>
                <w:sz w:val="24"/>
                <w:szCs w:val="24"/>
              </w:rPr>
              <w:t xml:space="preserve">nt clearly demonstrates how </w:t>
            </w:r>
            <w:r w:rsidR="00591A89">
              <w:rPr>
                <w:sz w:val="24"/>
                <w:szCs w:val="24"/>
              </w:rPr>
              <w:t>Waterbeach</w:t>
            </w:r>
            <w:r w:rsidR="008D7D91" w:rsidRPr="00563591">
              <w:rPr>
                <w:sz w:val="24"/>
                <w:szCs w:val="24"/>
              </w:rPr>
              <w:t xml:space="preserve"> Parish Council </w:t>
            </w:r>
            <w:r w:rsidRPr="00563591">
              <w:rPr>
                <w:sz w:val="24"/>
                <w:szCs w:val="24"/>
              </w:rPr>
              <w:t xml:space="preserve">considers that each of the </w:t>
            </w:r>
            <w:r w:rsidR="008D7D91" w:rsidRPr="00563591">
              <w:rPr>
                <w:sz w:val="24"/>
                <w:szCs w:val="24"/>
              </w:rPr>
              <w:t xml:space="preserve">Basic Conditions </w:t>
            </w:r>
            <w:r w:rsidRPr="00563591">
              <w:rPr>
                <w:sz w:val="24"/>
                <w:szCs w:val="24"/>
              </w:rPr>
              <w:t xml:space="preserve">have been met. </w:t>
            </w:r>
          </w:p>
          <w:p w14:paraId="0CD92FFB" w14:textId="77777777" w:rsidR="008D7D91" w:rsidRPr="00563591" w:rsidRDefault="008D7D91" w:rsidP="008A7EA4">
            <w:pPr>
              <w:spacing w:line="360" w:lineRule="auto"/>
              <w:rPr>
                <w:sz w:val="24"/>
                <w:szCs w:val="24"/>
              </w:rPr>
            </w:pPr>
          </w:p>
          <w:p w14:paraId="03125D5F" w14:textId="77777777" w:rsidR="00995FCE" w:rsidRPr="00563591" w:rsidRDefault="00995FCE" w:rsidP="008A7EA4">
            <w:pPr>
              <w:spacing w:line="360" w:lineRule="auto"/>
              <w:rPr>
                <w:sz w:val="24"/>
                <w:szCs w:val="24"/>
              </w:rPr>
            </w:pPr>
            <w:r w:rsidRPr="00563591">
              <w:rPr>
                <w:sz w:val="24"/>
                <w:szCs w:val="24"/>
              </w:rPr>
              <w:t xml:space="preserve">The legislation </w:t>
            </w:r>
            <w:r w:rsidR="008D7D91" w:rsidRPr="00563591">
              <w:rPr>
                <w:sz w:val="24"/>
                <w:szCs w:val="24"/>
              </w:rPr>
              <w:t xml:space="preserve">and planning policies </w:t>
            </w:r>
            <w:r w:rsidRPr="00563591">
              <w:rPr>
                <w:sz w:val="24"/>
                <w:szCs w:val="24"/>
              </w:rPr>
              <w:t>referred to in t</w:t>
            </w:r>
            <w:r w:rsidR="008D7D91" w:rsidRPr="00563591">
              <w:rPr>
                <w:sz w:val="24"/>
                <w:szCs w:val="24"/>
              </w:rPr>
              <w:t>he statement are</w:t>
            </w:r>
            <w:r w:rsidRPr="00563591">
              <w:rPr>
                <w:sz w:val="24"/>
                <w:szCs w:val="24"/>
              </w:rPr>
              <w:t xml:space="preserve"> correct at the time of submission.</w:t>
            </w:r>
          </w:p>
        </w:tc>
        <w:tc>
          <w:tcPr>
            <w:tcW w:w="2159" w:type="dxa"/>
          </w:tcPr>
          <w:p w14:paraId="7294A6ED" w14:textId="77777777" w:rsidR="00995FCE" w:rsidRPr="00563591" w:rsidRDefault="00995FCE" w:rsidP="008A7EA4">
            <w:pPr>
              <w:spacing w:line="360" w:lineRule="auto"/>
              <w:rPr>
                <w:sz w:val="24"/>
                <w:szCs w:val="24"/>
              </w:rPr>
            </w:pPr>
            <w:r w:rsidRPr="00563591">
              <w:rPr>
                <w:sz w:val="24"/>
                <w:szCs w:val="24"/>
              </w:rPr>
              <w:t>Yes</w:t>
            </w:r>
          </w:p>
        </w:tc>
      </w:tr>
      <w:tr w:rsidR="00995FCE" w:rsidRPr="00563591" w14:paraId="6CEB3C8E" w14:textId="77777777" w:rsidTr="00995FCE">
        <w:tc>
          <w:tcPr>
            <w:tcW w:w="5637" w:type="dxa"/>
          </w:tcPr>
          <w:p w14:paraId="3EA5FBDF" w14:textId="77777777" w:rsidR="00995FCE" w:rsidRPr="00563591" w:rsidRDefault="00995FCE" w:rsidP="008A7EA4">
            <w:pPr>
              <w:pStyle w:val="TableParagraph"/>
              <w:spacing w:line="360" w:lineRule="auto"/>
              <w:ind w:right="156"/>
              <w:rPr>
                <w:rFonts w:ascii="Arial" w:hAnsi="Arial" w:cs="Arial"/>
                <w:i/>
                <w:color w:val="231F20"/>
                <w:sz w:val="24"/>
                <w:szCs w:val="24"/>
                <w:lang w:val="en-GB"/>
              </w:rPr>
            </w:pPr>
            <w:r w:rsidRPr="00563591">
              <w:rPr>
                <w:rFonts w:ascii="Arial" w:hAnsi="Arial" w:cs="Arial"/>
                <w:i/>
                <w:color w:val="231F20"/>
                <w:sz w:val="24"/>
                <w:szCs w:val="24"/>
                <w:lang w:val="en-GB"/>
              </w:rPr>
              <w:t xml:space="preserve">(e) The Plan needs to be submitted with one of the following </w:t>
            </w:r>
            <w:proofErr w:type="spellStart"/>
            <w:r w:rsidRPr="00563591">
              <w:rPr>
                <w:rFonts w:ascii="Arial" w:hAnsi="Arial" w:cs="Arial"/>
                <w:i/>
                <w:color w:val="231F20"/>
                <w:sz w:val="24"/>
                <w:szCs w:val="24"/>
                <w:lang w:val="en-GB"/>
              </w:rPr>
              <w:t>i</w:t>
            </w:r>
            <w:proofErr w:type="spellEnd"/>
            <w:r w:rsidRPr="00563591">
              <w:rPr>
                <w:rFonts w:ascii="Arial" w:hAnsi="Arial" w:cs="Arial"/>
                <w:i/>
                <w:color w:val="231F20"/>
                <w:sz w:val="24"/>
                <w:szCs w:val="24"/>
                <w:lang w:val="en-GB"/>
              </w:rPr>
              <w:t xml:space="preserve">) a statement of reasons for a determination under regulation 9(1) of the Environmental Assessment of Plans and </w:t>
            </w:r>
            <w:r w:rsidRPr="00563591">
              <w:rPr>
                <w:rFonts w:ascii="Arial" w:hAnsi="Arial" w:cs="Arial"/>
                <w:i/>
                <w:color w:val="231F20"/>
                <w:sz w:val="24"/>
                <w:szCs w:val="24"/>
                <w:lang w:val="en-GB"/>
              </w:rPr>
              <w:lastRenderedPageBreak/>
              <w:t>Programmes Regulations 2004 that the proposal is unlikely to have significant environmental effects OR ii) an environmental report in accordance with paragraphs (2) and (3) of regulation 12 of the Environmental Assessment of Plans and Programmes Regulations 2004 (as set out in the Neighbourhood Planning (General Amendment) Regulations 2015, (which amends Regulation 15 of the Neighbourhood Planning (General) Regulations 2012)).</w:t>
            </w:r>
          </w:p>
          <w:p w14:paraId="00BC77FA" w14:textId="77777777" w:rsidR="00995FCE" w:rsidRPr="00563591" w:rsidRDefault="00995FCE" w:rsidP="008A7EA4">
            <w:pPr>
              <w:pStyle w:val="TableParagraph"/>
              <w:spacing w:line="360" w:lineRule="auto"/>
              <w:ind w:right="156"/>
              <w:rPr>
                <w:rFonts w:ascii="Arial" w:hAnsi="Arial" w:cs="Arial"/>
                <w:color w:val="231F20"/>
                <w:sz w:val="24"/>
                <w:szCs w:val="24"/>
                <w:lang w:val="en-GB"/>
              </w:rPr>
            </w:pPr>
          </w:p>
          <w:p w14:paraId="59535CC1" w14:textId="77777777" w:rsidR="00995FCE" w:rsidRPr="00563591" w:rsidRDefault="00995FCE" w:rsidP="008A7EA4">
            <w:pPr>
              <w:pStyle w:val="TableParagraph"/>
              <w:spacing w:line="360" w:lineRule="auto"/>
              <w:ind w:right="156"/>
              <w:rPr>
                <w:rFonts w:ascii="Arial" w:hAnsi="Arial" w:cs="Arial"/>
                <w:i/>
                <w:sz w:val="24"/>
                <w:szCs w:val="24"/>
                <w:lang w:val="en-GB"/>
              </w:rPr>
            </w:pPr>
            <w:r w:rsidRPr="00563591">
              <w:rPr>
                <w:rFonts w:ascii="Arial" w:hAnsi="Arial" w:cs="Arial"/>
                <w:color w:val="231F20"/>
                <w:sz w:val="24"/>
                <w:szCs w:val="24"/>
                <w:lang w:val="en-GB"/>
              </w:rPr>
              <w:t xml:space="preserve">If an Environmental Report is required, then this needs to have been subject to the required level of </w:t>
            </w:r>
            <w:proofErr w:type="gramStart"/>
            <w:r w:rsidRPr="00563591">
              <w:rPr>
                <w:rFonts w:ascii="Arial" w:hAnsi="Arial" w:cs="Arial"/>
                <w:color w:val="231F20"/>
                <w:sz w:val="24"/>
                <w:szCs w:val="24"/>
                <w:lang w:val="en-GB"/>
              </w:rPr>
              <w:t>consultation, and</w:t>
            </w:r>
            <w:proofErr w:type="gramEnd"/>
            <w:r w:rsidRPr="00563591">
              <w:rPr>
                <w:rFonts w:ascii="Arial" w:hAnsi="Arial" w:cs="Arial"/>
                <w:color w:val="231F20"/>
                <w:sz w:val="24"/>
                <w:szCs w:val="24"/>
                <w:lang w:val="en-GB"/>
              </w:rPr>
              <w:t xml:space="preserve"> should comply with the government’s SEA guidance.</w:t>
            </w:r>
            <w:r w:rsidR="009422B6" w:rsidRPr="00563591">
              <w:rPr>
                <w:rFonts w:ascii="Arial" w:hAnsi="Arial" w:cs="Arial"/>
                <w:color w:val="231F20"/>
                <w:sz w:val="24"/>
                <w:szCs w:val="24"/>
                <w:lang w:val="en-GB"/>
              </w:rPr>
              <w:t xml:space="preserve"> </w:t>
            </w:r>
            <w:r w:rsidRPr="00563591">
              <w:rPr>
                <w:rFonts w:ascii="Arial" w:hAnsi="Arial" w:cs="Arial"/>
                <w:color w:val="231F20"/>
                <w:sz w:val="24"/>
                <w:szCs w:val="24"/>
                <w:lang w:val="en-GB"/>
              </w:rPr>
              <w:t>In terms of consultation, the ‘consultation bodies’ (</w:t>
            </w:r>
            <w:r w:rsidR="009D6B5A" w:rsidRPr="00563591">
              <w:rPr>
                <w:rFonts w:ascii="Arial" w:hAnsi="Arial" w:cs="Arial"/>
                <w:color w:val="231F20"/>
                <w:sz w:val="24"/>
                <w:szCs w:val="24"/>
                <w:lang w:val="en-GB"/>
              </w:rPr>
              <w:t>Environment Agency</w:t>
            </w:r>
            <w:r w:rsidRPr="00563591">
              <w:rPr>
                <w:rFonts w:ascii="Arial" w:hAnsi="Arial" w:cs="Arial"/>
                <w:color w:val="231F20"/>
                <w:sz w:val="24"/>
                <w:szCs w:val="24"/>
                <w:lang w:val="en-GB"/>
              </w:rPr>
              <w:t>, N</w:t>
            </w:r>
            <w:r w:rsidR="009D6B5A" w:rsidRPr="00563591">
              <w:rPr>
                <w:rFonts w:ascii="Arial" w:hAnsi="Arial" w:cs="Arial"/>
                <w:color w:val="231F20"/>
                <w:sz w:val="24"/>
                <w:szCs w:val="24"/>
                <w:lang w:val="en-GB"/>
              </w:rPr>
              <w:t>atural England</w:t>
            </w:r>
            <w:r w:rsidRPr="00563591">
              <w:rPr>
                <w:rFonts w:ascii="Arial" w:hAnsi="Arial" w:cs="Arial"/>
                <w:color w:val="231F20"/>
                <w:sz w:val="24"/>
                <w:szCs w:val="24"/>
                <w:lang w:val="en-GB"/>
              </w:rPr>
              <w:t xml:space="preserve"> and H</w:t>
            </w:r>
            <w:r w:rsidR="009D6B5A" w:rsidRPr="00563591">
              <w:rPr>
                <w:rFonts w:ascii="Arial" w:hAnsi="Arial" w:cs="Arial"/>
                <w:color w:val="231F20"/>
                <w:sz w:val="24"/>
                <w:szCs w:val="24"/>
                <w:lang w:val="en-GB"/>
              </w:rPr>
              <w:t xml:space="preserve">istoric </w:t>
            </w:r>
            <w:r w:rsidRPr="00563591">
              <w:rPr>
                <w:rFonts w:ascii="Arial" w:hAnsi="Arial" w:cs="Arial"/>
                <w:color w:val="231F20"/>
                <w:sz w:val="24"/>
                <w:szCs w:val="24"/>
                <w:lang w:val="en-GB"/>
              </w:rPr>
              <w:t>E</w:t>
            </w:r>
            <w:r w:rsidR="009D6B5A" w:rsidRPr="00563591">
              <w:rPr>
                <w:rFonts w:ascii="Arial" w:hAnsi="Arial" w:cs="Arial"/>
                <w:color w:val="231F20"/>
                <w:sz w:val="24"/>
                <w:szCs w:val="24"/>
                <w:lang w:val="en-GB"/>
              </w:rPr>
              <w:t>ngland</w:t>
            </w:r>
            <w:r w:rsidRPr="00563591">
              <w:rPr>
                <w:rFonts w:ascii="Arial" w:hAnsi="Arial" w:cs="Arial"/>
                <w:color w:val="231F20"/>
                <w:sz w:val="24"/>
                <w:szCs w:val="24"/>
                <w:lang w:val="en-GB"/>
              </w:rPr>
              <w:t xml:space="preserve">) must have been consulted at scoping stage (for 5 weeks). There is no </w:t>
            </w:r>
            <w:r w:rsidRPr="00563591">
              <w:rPr>
                <w:rFonts w:ascii="Arial" w:hAnsi="Arial" w:cs="Arial"/>
                <w:color w:val="231F20"/>
                <w:sz w:val="24"/>
                <w:szCs w:val="24"/>
                <w:lang w:val="en-GB"/>
              </w:rPr>
              <w:lastRenderedPageBreak/>
              <w:t>requirement for public consultation on the scoping report. The draft Environmental Report on the pre-submission neighbourhood plan will need to be subject to public consultation for 6 weeks. The draft Environmental Report must be made available at the same time as the draft plan, as an integral part of the consultation process, and the relationship between the two documents clearly indicated.</w:t>
            </w:r>
          </w:p>
        </w:tc>
        <w:tc>
          <w:tcPr>
            <w:tcW w:w="6378" w:type="dxa"/>
          </w:tcPr>
          <w:p w14:paraId="6E1A3506" w14:textId="32A26C8A" w:rsidR="00995FCE" w:rsidRPr="00563591" w:rsidRDefault="00995FCE" w:rsidP="008A7EA4">
            <w:pPr>
              <w:spacing w:line="360" w:lineRule="auto"/>
              <w:rPr>
                <w:sz w:val="24"/>
                <w:szCs w:val="24"/>
              </w:rPr>
            </w:pPr>
            <w:r w:rsidRPr="00563591">
              <w:rPr>
                <w:sz w:val="24"/>
                <w:szCs w:val="24"/>
              </w:rPr>
              <w:lastRenderedPageBreak/>
              <w:t xml:space="preserve">In </w:t>
            </w:r>
            <w:r w:rsidR="00763C93">
              <w:rPr>
                <w:sz w:val="24"/>
                <w:szCs w:val="24"/>
              </w:rPr>
              <w:t>March</w:t>
            </w:r>
            <w:r w:rsidR="00382088" w:rsidRPr="00563591">
              <w:rPr>
                <w:sz w:val="24"/>
                <w:szCs w:val="24"/>
              </w:rPr>
              <w:t xml:space="preserve"> 20</w:t>
            </w:r>
            <w:r w:rsidR="00763C93">
              <w:rPr>
                <w:sz w:val="24"/>
                <w:szCs w:val="24"/>
              </w:rPr>
              <w:t>20</w:t>
            </w:r>
            <w:r w:rsidR="008D7D91" w:rsidRPr="00563591">
              <w:rPr>
                <w:sz w:val="24"/>
                <w:szCs w:val="24"/>
              </w:rPr>
              <w:t xml:space="preserve">, South Cambridgeshire District Council and </w:t>
            </w:r>
            <w:r w:rsidR="00591A89">
              <w:rPr>
                <w:sz w:val="24"/>
                <w:szCs w:val="24"/>
              </w:rPr>
              <w:t>Waterbeach</w:t>
            </w:r>
            <w:r w:rsidR="008D7D91" w:rsidRPr="00563591">
              <w:rPr>
                <w:sz w:val="24"/>
                <w:szCs w:val="24"/>
              </w:rPr>
              <w:t xml:space="preserve"> Parish Council published a Strategic Environmental Assessment </w:t>
            </w:r>
            <w:r w:rsidR="009422B6" w:rsidRPr="00563591">
              <w:rPr>
                <w:sz w:val="24"/>
                <w:szCs w:val="24"/>
              </w:rPr>
              <w:t xml:space="preserve">(SEA) </w:t>
            </w:r>
            <w:r w:rsidR="008D7D91" w:rsidRPr="00563591">
              <w:rPr>
                <w:sz w:val="24"/>
                <w:szCs w:val="24"/>
              </w:rPr>
              <w:t>Screening Determination Statement</w:t>
            </w:r>
            <w:r w:rsidR="009422B6" w:rsidRPr="00563591">
              <w:rPr>
                <w:sz w:val="24"/>
                <w:szCs w:val="24"/>
              </w:rPr>
              <w:t>.</w:t>
            </w:r>
            <w:r w:rsidR="003A6D9A" w:rsidRPr="00563591">
              <w:rPr>
                <w:sz w:val="24"/>
                <w:szCs w:val="24"/>
              </w:rPr>
              <w:t xml:space="preserve"> This statement sets out the </w:t>
            </w:r>
            <w:r w:rsidR="003A6D9A" w:rsidRPr="00563591">
              <w:rPr>
                <w:sz w:val="24"/>
                <w:szCs w:val="24"/>
              </w:rPr>
              <w:lastRenderedPageBreak/>
              <w:t xml:space="preserve">reasons for the determination that the draft </w:t>
            </w:r>
            <w:r w:rsidR="00763C93">
              <w:rPr>
                <w:sz w:val="24"/>
                <w:szCs w:val="24"/>
              </w:rPr>
              <w:t>Waterbeach</w:t>
            </w:r>
            <w:r w:rsidR="003A6D9A" w:rsidRPr="00563591">
              <w:rPr>
                <w:sz w:val="24"/>
                <w:szCs w:val="24"/>
              </w:rPr>
              <w:t xml:space="preserve"> Neighbourhood Plan is unlikely to result in significant environmental effects and therefore does not require a Strategic Environmental Assessment.  </w:t>
            </w:r>
            <w:r w:rsidR="00795B2D" w:rsidRPr="00563591">
              <w:rPr>
                <w:sz w:val="24"/>
                <w:szCs w:val="24"/>
              </w:rPr>
              <w:t>This S</w:t>
            </w:r>
            <w:r w:rsidRPr="00563591">
              <w:rPr>
                <w:sz w:val="24"/>
                <w:szCs w:val="24"/>
              </w:rPr>
              <w:t xml:space="preserve">creening </w:t>
            </w:r>
            <w:r w:rsidR="00795B2D" w:rsidRPr="00563591">
              <w:rPr>
                <w:sz w:val="24"/>
                <w:szCs w:val="24"/>
              </w:rPr>
              <w:t>Determination Statement</w:t>
            </w:r>
            <w:r w:rsidRPr="00563591">
              <w:rPr>
                <w:sz w:val="24"/>
                <w:szCs w:val="24"/>
              </w:rPr>
              <w:t xml:space="preserve"> was underpinned by a</w:t>
            </w:r>
            <w:r w:rsidR="00795B2D" w:rsidRPr="00563591">
              <w:rPr>
                <w:sz w:val="24"/>
                <w:szCs w:val="24"/>
              </w:rPr>
              <w:t xml:space="preserve"> </w:t>
            </w:r>
            <w:r w:rsidR="005D0E85" w:rsidRPr="00563591">
              <w:rPr>
                <w:sz w:val="24"/>
                <w:szCs w:val="24"/>
              </w:rPr>
              <w:t xml:space="preserve">SEA </w:t>
            </w:r>
            <w:r w:rsidR="00795B2D" w:rsidRPr="00563591">
              <w:rPr>
                <w:sz w:val="24"/>
                <w:szCs w:val="24"/>
              </w:rPr>
              <w:t>Screening</w:t>
            </w:r>
            <w:r w:rsidRPr="00563591">
              <w:rPr>
                <w:sz w:val="24"/>
                <w:szCs w:val="24"/>
              </w:rPr>
              <w:t xml:space="preserve"> </w:t>
            </w:r>
            <w:r w:rsidR="00795B2D" w:rsidRPr="00563591">
              <w:rPr>
                <w:sz w:val="24"/>
                <w:szCs w:val="24"/>
              </w:rPr>
              <w:t xml:space="preserve">Report </w:t>
            </w:r>
            <w:r w:rsidR="00DA557D" w:rsidRPr="00563591">
              <w:rPr>
                <w:sz w:val="24"/>
                <w:szCs w:val="24"/>
              </w:rPr>
              <w:t xml:space="preserve">undertaken by Essex Place Services on behalf of SCDC and </w:t>
            </w:r>
            <w:r w:rsidR="00763C93">
              <w:rPr>
                <w:sz w:val="24"/>
                <w:szCs w:val="24"/>
              </w:rPr>
              <w:t>Waterbeach</w:t>
            </w:r>
            <w:r w:rsidR="00DA557D" w:rsidRPr="00563591">
              <w:rPr>
                <w:sz w:val="24"/>
                <w:szCs w:val="24"/>
              </w:rPr>
              <w:t xml:space="preserve"> Parish Council, and the opinions of the three statutory bodies. Consultation with the three statutory bodies (Environment Agency, Natural </w:t>
            </w:r>
            <w:proofErr w:type="gramStart"/>
            <w:r w:rsidR="00DA557D" w:rsidRPr="00563591">
              <w:rPr>
                <w:sz w:val="24"/>
                <w:szCs w:val="24"/>
              </w:rPr>
              <w:t>England</w:t>
            </w:r>
            <w:proofErr w:type="gramEnd"/>
            <w:r w:rsidR="00DA557D" w:rsidRPr="00563591">
              <w:rPr>
                <w:sz w:val="24"/>
                <w:szCs w:val="24"/>
              </w:rPr>
              <w:t xml:space="preserve"> and Historic England) on the draft screening report for the </w:t>
            </w:r>
            <w:r w:rsidR="00C74AA6" w:rsidRPr="00563591">
              <w:rPr>
                <w:sz w:val="24"/>
                <w:szCs w:val="24"/>
              </w:rPr>
              <w:t xml:space="preserve">Neighbourhood Plan </w:t>
            </w:r>
            <w:r w:rsidR="007C333E" w:rsidRPr="00563591">
              <w:rPr>
                <w:sz w:val="24"/>
                <w:szCs w:val="24"/>
              </w:rPr>
              <w:t>took place</w:t>
            </w:r>
            <w:r w:rsidR="00C74AA6" w:rsidRPr="00563591">
              <w:rPr>
                <w:sz w:val="24"/>
                <w:szCs w:val="24"/>
              </w:rPr>
              <w:t xml:space="preserve"> i</w:t>
            </w:r>
            <w:r w:rsidR="00DA557D" w:rsidRPr="00563591">
              <w:rPr>
                <w:sz w:val="24"/>
                <w:szCs w:val="24"/>
              </w:rPr>
              <w:t xml:space="preserve">n </w:t>
            </w:r>
            <w:r w:rsidR="00763C93">
              <w:rPr>
                <w:sz w:val="24"/>
                <w:szCs w:val="24"/>
              </w:rPr>
              <w:t>February</w:t>
            </w:r>
            <w:r w:rsidR="00382088" w:rsidRPr="00563591">
              <w:rPr>
                <w:sz w:val="24"/>
                <w:szCs w:val="24"/>
              </w:rPr>
              <w:t xml:space="preserve"> 20</w:t>
            </w:r>
            <w:r w:rsidR="00763C93">
              <w:rPr>
                <w:sz w:val="24"/>
                <w:szCs w:val="24"/>
              </w:rPr>
              <w:t>20</w:t>
            </w:r>
            <w:r w:rsidR="00DA557D" w:rsidRPr="00563591">
              <w:rPr>
                <w:sz w:val="24"/>
                <w:szCs w:val="24"/>
              </w:rPr>
              <w:t>.</w:t>
            </w:r>
            <w:r w:rsidRPr="00563591">
              <w:rPr>
                <w:sz w:val="24"/>
                <w:szCs w:val="24"/>
              </w:rPr>
              <w:t xml:space="preserve"> The consultation responses rec</w:t>
            </w:r>
            <w:r w:rsidR="00795B2D" w:rsidRPr="00563591">
              <w:rPr>
                <w:sz w:val="24"/>
                <w:szCs w:val="24"/>
              </w:rPr>
              <w:t>eived are included in Appendix 2 of the Screening Determination Statement</w:t>
            </w:r>
            <w:r w:rsidRPr="00563591">
              <w:rPr>
                <w:sz w:val="24"/>
                <w:szCs w:val="24"/>
              </w:rPr>
              <w:t xml:space="preserve">. The </w:t>
            </w:r>
            <w:r w:rsidR="00795B2D" w:rsidRPr="00563591">
              <w:rPr>
                <w:sz w:val="24"/>
                <w:szCs w:val="24"/>
              </w:rPr>
              <w:t>statutory</w:t>
            </w:r>
            <w:r w:rsidRPr="00563591">
              <w:rPr>
                <w:sz w:val="24"/>
                <w:szCs w:val="24"/>
              </w:rPr>
              <w:t xml:space="preserve"> bodies agreed with the conclusion reached.</w:t>
            </w:r>
          </w:p>
          <w:p w14:paraId="7E711578" w14:textId="77777777" w:rsidR="00995FCE" w:rsidRPr="00563591" w:rsidRDefault="00995FCE" w:rsidP="008A7EA4">
            <w:pPr>
              <w:spacing w:line="360" w:lineRule="auto"/>
              <w:rPr>
                <w:sz w:val="24"/>
                <w:szCs w:val="24"/>
              </w:rPr>
            </w:pPr>
          </w:p>
          <w:p w14:paraId="5351AB2E" w14:textId="47CB413E" w:rsidR="00CB508E" w:rsidRPr="00563591" w:rsidRDefault="00631F66" w:rsidP="008A7EA4">
            <w:pPr>
              <w:spacing w:line="360" w:lineRule="auto"/>
              <w:rPr>
                <w:sz w:val="24"/>
                <w:szCs w:val="24"/>
              </w:rPr>
            </w:pPr>
            <w:r w:rsidRPr="00563591">
              <w:rPr>
                <w:sz w:val="24"/>
                <w:szCs w:val="24"/>
              </w:rPr>
              <w:t xml:space="preserve">The SEA Screening Determination Statement (including the SEA and HRA screening reports) </w:t>
            </w:r>
            <w:r w:rsidR="00382088" w:rsidRPr="00563591">
              <w:rPr>
                <w:sz w:val="24"/>
                <w:szCs w:val="24"/>
              </w:rPr>
              <w:t xml:space="preserve">is available on both the South Cambridgeshire District Council website </w:t>
            </w:r>
            <w:r w:rsidR="00382088" w:rsidRPr="00563591">
              <w:rPr>
                <w:sz w:val="24"/>
                <w:szCs w:val="24"/>
              </w:rPr>
              <w:lastRenderedPageBreak/>
              <w:t xml:space="preserve">and the </w:t>
            </w:r>
            <w:r w:rsidR="00763C93">
              <w:rPr>
                <w:sz w:val="24"/>
                <w:szCs w:val="24"/>
              </w:rPr>
              <w:t>Waterbeach</w:t>
            </w:r>
            <w:r w:rsidR="00382088" w:rsidRPr="00563591">
              <w:rPr>
                <w:sz w:val="24"/>
                <w:szCs w:val="24"/>
              </w:rPr>
              <w:t xml:space="preserve"> Parish Council website </w:t>
            </w:r>
            <w:r w:rsidR="00CB508E" w:rsidRPr="00563591">
              <w:rPr>
                <w:sz w:val="24"/>
                <w:szCs w:val="24"/>
              </w:rPr>
              <w:t>alongside the</w:t>
            </w:r>
            <w:r w:rsidR="00FE4173" w:rsidRPr="00563591">
              <w:rPr>
                <w:sz w:val="24"/>
                <w:szCs w:val="24"/>
              </w:rPr>
              <w:t xml:space="preserve"> submitted</w:t>
            </w:r>
            <w:r w:rsidR="00382088" w:rsidRPr="00563591">
              <w:rPr>
                <w:sz w:val="24"/>
                <w:szCs w:val="24"/>
              </w:rPr>
              <w:t xml:space="preserve"> </w:t>
            </w:r>
            <w:r w:rsidR="00763C93">
              <w:rPr>
                <w:sz w:val="24"/>
                <w:szCs w:val="24"/>
              </w:rPr>
              <w:t>Waterbeach</w:t>
            </w:r>
            <w:r w:rsidR="00CB508E" w:rsidRPr="00563591">
              <w:rPr>
                <w:sz w:val="24"/>
                <w:szCs w:val="24"/>
              </w:rPr>
              <w:t xml:space="preserve"> Neighbourhood Plan.</w:t>
            </w:r>
          </w:p>
          <w:p w14:paraId="7F20F706" w14:textId="77777777" w:rsidR="004443B8" w:rsidRPr="00563591" w:rsidRDefault="004443B8" w:rsidP="008A7EA4">
            <w:pPr>
              <w:pStyle w:val="ListParagraph"/>
              <w:spacing w:line="360" w:lineRule="auto"/>
              <w:rPr>
                <w:sz w:val="24"/>
                <w:szCs w:val="24"/>
              </w:rPr>
            </w:pPr>
          </w:p>
        </w:tc>
        <w:tc>
          <w:tcPr>
            <w:tcW w:w="2159" w:type="dxa"/>
          </w:tcPr>
          <w:p w14:paraId="2EB18FED" w14:textId="77777777" w:rsidR="00995FCE" w:rsidRPr="00563591" w:rsidRDefault="00995FCE" w:rsidP="008A7EA4">
            <w:pPr>
              <w:spacing w:line="360" w:lineRule="auto"/>
              <w:rPr>
                <w:sz w:val="24"/>
                <w:szCs w:val="24"/>
              </w:rPr>
            </w:pPr>
            <w:r w:rsidRPr="00563591">
              <w:rPr>
                <w:sz w:val="24"/>
                <w:szCs w:val="24"/>
              </w:rPr>
              <w:lastRenderedPageBreak/>
              <w:t>Yes</w:t>
            </w:r>
          </w:p>
        </w:tc>
      </w:tr>
      <w:tr w:rsidR="00995FCE" w:rsidRPr="00563591" w14:paraId="18BCE28A" w14:textId="77777777" w:rsidTr="00995FCE">
        <w:tc>
          <w:tcPr>
            <w:tcW w:w="5637" w:type="dxa"/>
          </w:tcPr>
          <w:p w14:paraId="177EFC0A" w14:textId="77777777" w:rsidR="00995FCE" w:rsidRPr="00563591" w:rsidRDefault="00995FCE" w:rsidP="008A7EA4">
            <w:pPr>
              <w:pStyle w:val="TableParagraph"/>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lastRenderedPageBreak/>
              <w:t xml:space="preserve">The Neighbourhood Plan and accompanying documents meet the scope of neighbourhood plan provisions i.e. specifies the period for which it covers, does not include provision about development that is ‘excluded development’ (as set out in section 61K of the 1990 Act - s38B(6) </w:t>
            </w:r>
            <w:r w:rsidR="009D6B5A" w:rsidRPr="00563591">
              <w:rPr>
                <w:rFonts w:ascii="Arial" w:hAnsi="Arial" w:cs="Arial"/>
                <w:color w:val="231F20"/>
                <w:sz w:val="24"/>
                <w:szCs w:val="24"/>
                <w:lang w:val="en-GB"/>
              </w:rPr>
              <w:t>Planning and Compulsory Purchase Act</w:t>
            </w:r>
            <w:r w:rsidRPr="00563591">
              <w:rPr>
                <w:rFonts w:ascii="Arial" w:hAnsi="Arial" w:cs="Arial"/>
                <w:color w:val="231F20"/>
                <w:sz w:val="24"/>
                <w:szCs w:val="24"/>
                <w:lang w:val="en-GB"/>
              </w:rPr>
              <w:t xml:space="preserve">) and does not relate to more than one neighbourhood area </w:t>
            </w:r>
            <w:r w:rsidR="009D6B5A" w:rsidRPr="00563591">
              <w:rPr>
                <w:rFonts w:ascii="Arial" w:hAnsi="Arial" w:cs="Arial"/>
                <w:color w:val="231F20"/>
                <w:sz w:val="24"/>
                <w:szCs w:val="24"/>
                <w:lang w:val="en-GB"/>
              </w:rPr>
              <w:t>(2004 Act</w:t>
            </w:r>
            <w:r w:rsidRPr="00563591">
              <w:rPr>
                <w:rFonts w:ascii="Arial" w:hAnsi="Arial" w:cs="Arial"/>
                <w:color w:val="231F20"/>
                <w:sz w:val="24"/>
                <w:szCs w:val="24"/>
                <w:lang w:val="en-GB"/>
              </w:rPr>
              <w:t>s 38B (1 &amp; 2) (4)).</w:t>
            </w:r>
          </w:p>
        </w:tc>
        <w:tc>
          <w:tcPr>
            <w:tcW w:w="6378" w:type="dxa"/>
          </w:tcPr>
          <w:p w14:paraId="7D97C733" w14:textId="77777777" w:rsidR="00995FCE" w:rsidRPr="00563591" w:rsidRDefault="00995FCE" w:rsidP="008A7EA4">
            <w:pPr>
              <w:spacing w:line="360" w:lineRule="auto"/>
              <w:rPr>
                <w:sz w:val="24"/>
                <w:szCs w:val="24"/>
              </w:rPr>
            </w:pPr>
            <w:r w:rsidRPr="00563591">
              <w:rPr>
                <w:sz w:val="24"/>
                <w:szCs w:val="24"/>
              </w:rPr>
              <w:t>The submission Neighbourhood Plan covers the period</w:t>
            </w:r>
          </w:p>
          <w:p w14:paraId="42C1D8E0" w14:textId="70B4E066" w:rsidR="00995FCE" w:rsidRPr="00563591" w:rsidRDefault="00811325" w:rsidP="008A7EA4">
            <w:pPr>
              <w:spacing w:line="360" w:lineRule="auto"/>
              <w:rPr>
                <w:sz w:val="24"/>
                <w:szCs w:val="24"/>
              </w:rPr>
            </w:pPr>
            <w:r w:rsidRPr="00EA076E">
              <w:rPr>
                <w:sz w:val="24"/>
                <w:szCs w:val="24"/>
              </w:rPr>
              <w:t>20</w:t>
            </w:r>
            <w:r w:rsidR="00065E09" w:rsidRPr="00EA076E">
              <w:rPr>
                <w:sz w:val="24"/>
                <w:szCs w:val="24"/>
              </w:rPr>
              <w:t>20</w:t>
            </w:r>
            <w:r w:rsidR="00995FCE" w:rsidRPr="00EA076E">
              <w:rPr>
                <w:sz w:val="24"/>
                <w:szCs w:val="24"/>
              </w:rPr>
              <w:t>-2031</w:t>
            </w:r>
            <w:r w:rsidR="00E131C2" w:rsidRPr="00EA076E">
              <w:rPr>
                <w:sz w:val="24"/>
                <w:szCs w:val="24"/>
              </w:rPr>
              <w:t>.</w:t>
            </w:r>
          </w:p>
          <w:p w14:paraId="21A9F234" w14:textId="77777777" w:rsidR="00995FCE" w:rsidRPr="00563591" w:rsidRDefault="00995FCE" w:rsidP="008A7EA4">
            <w:pPr>
              <w:spacing w:line="360" w:lineRule="auto"/>
              <w:rPr>
                <w:sz w:val="24"/>
                <w:szCs w:val="24"/>
              </w:rPr>
            </w:pPr>
            <w:r w:rsidRPr="00563591">
              <w:rPr>
                <w:sz w:val="24"/>
                <w:szCs w:val="24"/>
              </w:rPr>
              <w:t xml:space="preserve"> </w:t>
            </w:r>
          </w:p>
          <w:p w14:paraId="0FBD6CCA" w14:textId="77777777" w:rsidR="00995FCE" w:rsidRPr="00563591" w:rsidRDefault="00995FCE" w:rsidP="008A7EA4">
            <w:pPr>
              <w:spacing w:line="360" w:lineRule="auto"/>
              <w:rPr>
                <w:sz w:val="24"/>
                <w:szCs w:val="24"/>
              </w:rPr>
            </w:pPr>
            <w:r w:rsidRPr="00563591">
              <w:rPr>
                <w:sz w:val="24"/>
                <w:szCs w:val="24"/>
              </w:rPr>
              <w:t>The submission Neighbourhood Plan does not contain policies relating to ‘excluded development’.</w:t>
            </w:r>
          </w:p>
          <w:p w14:paraId="71034830" w14:textId="77777777" w:rsidR="00995FCE" w:rsidRPr="00563591" w:rsidRDefault="00995FCE" w:rsidP="008A7EA4">
            <w:pPr>
              <w:spacing w:line="360" w:lineRule="auto"/>
              <w:rPr>
                <w:sz w:val="24"/>
                <w:szCs w:val="24"/>
              </w:rPr>
            </w:pPr>
          </w:p>
          <w:p w14:paraId="25F54C3B" w14:textId="77777777" w:rsidR="00995FCE" w:rsidRPr="00563591" w:rsidRDefault="00995FCE" w:rsidP="008A7EA4">
            <w:pPr>
              <w:spacing w:line="360" w:lineRule="auto"/>
              <w:rPr>
                <w:sz w:val="24"/>
                <w:szCs w:val="24"/>
              </w:rPr>
            </w:pPr>
            <w:r w:rsidRPr="00563591">
              <w:rPr>
                <w:sz w:val="24"/>
                <w:szCs w:val="24"/>
              </w:rPr>
              <w:t>The Neighbourhood Plan does not relate to more than one neighbourhood area.</w:t>
            </w:r>
          </w:p>
          <w:p w14:paraId="4E7A3166" w14:textId="77777777" w:rsidR="00995FCE" w:rsidRPr="00563591" w:rsidRDefault="00995FCE" w:rsidP="008A7EA4">
            <w:pPr>
              <w:spacing w:line="360" w:lineRule="auto"/>
              <w:rPr>
                <w:sz w:val="24"/>
                <w:szCs w:val="24"/>
              </w:rPr>
            </w:pPr>
          </w:p>
          <w:p w14:paraId="40C5F836" w14:textId="3795A9E4" w:rsidR="00995FCE" w:rsidRPr="00563591" w:rsidRDefault="00995FCE" w:rsidP="008A7EA4">
            <w:pPr>
              <w:spacing w:line="360" w:lineRule="auto"/>
              <w:rPr>
                <w:sz w:val="24"/>
                <w:szCs w:val="24"/>
              </w:rPr>
            </w:pPr>
            <w:r w:rsidRPr="00563591">
              <w:rPr>
                <w:sz w:val="24"/>
                <w:szCs w:val="24"/>
              </w:rPr>
              <w:lastRenderedPageBreak/>
              <w:t xml:space="preserve">There is not more than one Neighbourhood Plan in existence in </w:t>
            </w:r>
            <w:r w:rsidR="00763C93">
              <w:rPr>
                <w:sz w:val="24"/>
                <w:szCs w:val="24"/>
              </w:rPr>
              <w:t>Waterbeach</w:t>
            </w:r>
            <w:r w:rsidR="007376B3" w:rsidRPr="00563591">
              <w:rPr>
                <w:sz w:val="24"/>
                <w:szCs w:val="24"/>
              </w:rPr>
              <w:t>.</w:t>
            </w:r>
          </w:p>
        </w:tc>
        <w:tc>
          <w:tcPr>
            <w:tcW w:w="2159" w:type="dxa"/>
          </w:tcPr>
          <w:p w14:paraId="05D00783" w14:textId="77777777" w:rsidR="00995FCE" w:rsidRPr="00563591" w:rsidRDefault="00995FCE" w:rsidP="008A7EA4">
            <w:pPr>
              <w:spacing w:line="360" w:lineRule="auto"/>
              <w:rPr>
                <w:sz w:val="24"/>
                <w:szCs w:val="24"/>
              </w:rPr>
            </w:pPr>
            <w:r w:rsidRPr="00563591">
              <w:rPr>
                <w:sz w:val="24"/>
                <w:szCs w:val="24"/>
              </w:rPr>
              <w:lastRenderedPageBreak/>
              <w:t>Yes</w:t>
            </w:r>
          </w:p>
        </w:tc>
      </w:tr>
      <w:tr w:rsidR="00995FCE" w:rsidRPr="00563591" w14:paraId="4E09D6D4" w14:textId="77777777" w:rsidTr="00995FCE">
        <w:tc>
          <w:tcPr>
            <w:tcW w:w="5637" w:type="dxa"/>
          </w:tcPr>
          <w:p w14:paraId="214B9995" w14:textId="77777777" w:rsidR="00995FCE" w:rsidRPr="00563591" w:rsidRDefault="00995FCE" w:rsidP="008A7EA4">
            <w:pPr>
              <w:pStyle w:val="TableParagraph"/>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The Qualifying Body has undertaken the correct procedures in relation to consultation and publicity.</w:t>
            </w:r>
          </w:p>
        </w:tc>
        <w:tc>
          <w:tcPr>
            <w:tcW w:w="6378" w:type="dxa"/>
          </w:tcPr>
          <w:p w14:paraId="6C4FAD9C" w14:textId="77777777" w:rsidR="00995FCE" w:rsidRPr="00563591" w:rsidRDefault="00995FCE" w:rsidP="008A7EA4">
            <w:pPr>
              <w:spacing w:line="360" w:lineRule="auto"/>
              <w:rPr>
                <w:sz w:val="24"/>
                <w:szCs w:val="24"/>
              </w:rPr>
            </w:pPr>
            <w:r w:rsidRPr="00563591">
              <w:rPr>
                <w:sz w:val="24"/>
                <w:szCs w:val="24"/>
              </w:rPr>
              <w:t>The Parish Council has submitted a Consultation Statement that demonstrates compliance with SI 2012/637 The Neighbourhood Planning (General) Regulations 2012, Regulation s15(2).</w:t>
            </w:r>
          </w:p>
        </w:tc>
        <w:tc>
          <w:tcPr>
            <w:tcW w:w="2159" w:type="dxa"/>
          </w:tcPr>
          <w:p w14:paraId="47C43AA0" w14:textId="77777777" w:rsidR="00995FCE" w:rsidRPr="00563591" w:rsidRDefault="00995FCE" w:rsidP="008A7EA4">
            <w:pPr>
              <w:spacing w:line="360" w:lineRule="auto"/>
              <w:rPr>
                <w:sz w:val="24"/>
                <w:szCs w:val="24"/>
              </w:rPr>
            </w:pPr>
            <w:r w:rsidRPr="00563591">
              <w:rPr>
                <w:sz w:val="24"/>
                <w:szCs w:val="24"/>
              </w:rPr>
              <w:t>Yes</w:t>
            </w:r>
          </w:p>
        </w:tc>
      </w:tr>
      <w:tr w:rsidR="00995FCE" w:rsidRPr="00563591" w14:paraId="79657DCF" w14:textId="77777777" w:rsidTr="00995FCE">
        <w:tc>
          <w:tcPr>
            <w:tcW w:w="5637" w:type="dxa"/>
          </w:tcPr>
          <w:p w14:paraId="6A836086" w14:textId="77777777" w:rsidR="00995FCE" w:rsidRPr="00563591" w:rsidRDefault="00995FCE" w:rsidP="008A7EA4">
            <w:pPr>
              <w:pStyle w:val="TableParagraph"/>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The draft Neighbourhood Plan should be checked to ensure it is not a ‘repeat’ proposal. If so, the LPA can decline to consider the plan (Town and Country Planning Act 1990 Act Schedule 4B s5 and s18 as varied by s38C of the Planning and Compulsory Purchase Act 2004).</w:t>
            </w:r>
          </w:p>
        </w:tc>
        <w:tc>
          <w:tcPr>
            <w:tcW w:w="6378" w:type="dxa"/>
          </w:tcPr>
          <w:p w14:paraId="4D1AE8E5" w14:textId="425E759F" w:rsidR="00995FCE" w:rsidRPr="00563591" w:rsidRDefault="00995FCE" w:rsidP="008A7EA4">
            <w:pPr>
              <w:spacing w:line="360" w:lineRule="auto"/>
              <w:rPr>
                <w:sz w:val="24"/>
                <w:szCs w:val="24"/>
              </w:rPr>
            </w:pPr>
            <w:r w:rsidRPr="00563591">
              <w:rPr>
                <w:sz w:val="24"/>
                <w:szCs w:val="24"/>
              </w:rPr>
              <w:t xml:space="preserve">The submission of the </w:t>
            </w:r>
            <w:r w:rsidR="00763C93">
              <w:rPr>
                <w:sz w:val="24"/>
                <w:szCs w:val="24"/>
              </w:rPr>
              <w:t>Waterbeach</w:t>
            </w:r>
            <w:r w:rsidRPr="00563591">
              <w:rPr>
                <w:sz w:val="24"/>
                <w:szCs w:val="24"/>
              </w:rPr>
              <w:t xml:space="preserve"> Neighbourhood Plan is not a repeat proposal.</w:t>
            </w:r>
          </w:p>
        </w:tc>
        <w:tc>
          <w:tcPr>
            <w:tcW w:w="2159" w:type="dxa"/>
          </w:tcPr>
          <w:p w14:paraId="1C656878" w14:textId="77777777" w:rsidR="00995FCE" w:rsidRPr="00563591" w:rsidRDefault="00995FCE" w:rsidP="008A7EA4">
            <w:pPr>
              <w:spacing w:line="360" w:lineRule="auto"/>
              <w:rPr>
                <w:sz w:val="24"/>
                <w:szCs w:val="24"/>
              </w:rPr>
            </w:pPr>
            <w:r w:rsidRPr="00563591">
              <w:rPr>
                <w:sz w:val="24"/>
                <w:szCs w:val="24"/>
              </w:rPr>
              <w:t>Yes</w:t>
            </w:r>
          </w:p>
        </w:tc>
      </w:tr>
      <w:tr w:rsidR="00995FCE" w:rsidRPr="00563591" w14:paraId="09E4665F" w14:textId="77777777" w:rsidTr="00995FCE">
        <w:tc>
          <w:tcPr>
            <w:tcW w:w="5637" w:type="dxa"/>
          </w:tcPr>
          <w:p w14:paraId="45987392" w14:textId="77777777" w:rsidR="00995FCE" w:rsidRPr="00563591" w:rsidRDefault="00995FCE" w:rsidP="008A7EA4">
            <w:pPr>
              <w:pStyle w:val="TableParagraph"/>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The pre-submission consultation requirements need to have been satisfied. Before submission to the LPA the qualifying body should:</w:t>
            </w:r>
          </w:p>
          <w:p w14:paraId="04968E2C" w14:textId="77777777" w:rsidR="00995FCE" w:rsidRPr="00563591" w:rsidRDefault="00995FCE" w:rsidP="008A7EA4">
            <w:pPr>
              <w:pStyle w:val="TableParagraph"/>
              <w:numPr>
                <w:ilvl w:val="0"/>
                <w:numId w:val="2"/>
              </w:numPr>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 xml:space="preserve">publicise (but this does not have to be on a web site) in a way that is likely to bring to the attention of people who live work or carry on </w:t>
            </w:r>
            <w:r w:rsidRPr="00563591">
              <w:rPr>
                <w:rFonts w:ascii="Arial" w:hAnsi="Arial" w:cs="Arial"/>
                <w:color w:val="231F20"/>
                <w:sz w:val="24"/>
                <w:szCs w:val="24"/>
                <w:lang w:val="en-GB"/>
              </w:rPr>
              <w:lastRenderedPageBreak/>
              <w:t>business in the area details of:</w:t>
            </w:r>
          </w:p>
          <w:p w14:paraId="1ED8D134" w14:textId="77777777" w:rsidR="00995FCE" w:rsidRPr="00563591" w:rsidRDefault="00995FCE" w:rsidP="008A7EA4">
            <w:pPr>
              <w:pStyle w:val="TableParagraph"/>
              <w:numPr>
                <w:ilvl w:val="0"/>
                <w:numId w:val="3"/>
              </w:numPr>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the proposals</w:t>
            </w:r>
          </w:p>
          <w:p w14:paraId="7EDE7999" w14:textId="77777777" w:rsidR="00995FCE" w:rsidRPr="00563591" w:rsidRDefault="00995FCE" w:rsidP="008A7EA4">
            <w:pPr>
              <w:pStyle w:val="TableParagraph"/>
              <w:numPr>
                <w:ilvl w:val="0"/>
                <w:numId w:val="3"/>
              </w:numPr>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when and where they can be inspected</w:t>
            </w:r>
          </w:p>
          <w:p w14:paraId="37EBEE40" w14:textId="77777777" w:rsidR="00995FCE" w:rsidRPr="00563591" w:rsidRDefault="00995FCE" w:rsidP="008A7EA4">
            <w:pPr>
              <w:pStyle w:val="TableParagraph"/>
              <w:numPr>
                <w:ilvl w:val="0"/>
                <w:numId w:val="3"/>
              </w:numPr>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how to make representations, and</w:t>
            </w:r>
          </w:p>
          <w:p w14:paraId="711FD6E7" w14:textId="77777777" w:rsidR="00995FCE" w:rsidRPr="00563591" w:rsidRDefault="00995FCE" w:rsidP="008A7EA4">
            <w:pPr>
              <w:pStyle w:val="TableParagraph"/>
              <w:numPr>
                <w:ilvl w:val="0"/>
                <w:numId w:val="3"/>
              </w:numPr>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the deadline for making representations – not less than 6 weeks from first publicised.</w:t>
            </w:r>
          </w:p>
          <w:p w14:paraId="6D844AF6" w14:textId="77777777" w:rsidR="00995FCE" w:rsidRPr="00563591" w:rsidRDefault="00995FCE" w:rsidP="008A7EA4">
            <w:pPr>
              <w:pStyle w:val="TableParagraph"/>
              <w:numPr>
                <w:ilvl w:val="0"/>
                <w:numId w:val="2"/>
              </w:numPr>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 xml:space="preserve">consult any consultation body whose interests they consider may be affected by the proposals for a </w:t>
            </w:r>
            <w:r w:rsidR="000D234F" w:rsidRPr="00563591">
              <w:rPr>
                <w:rFonts w:ascii="Arial" w:hAnsi="Arial" w:cs="Arial"/>
                <w:color w:val="231F20"/>
                <w:sz w:val="24"/>
                <w:szCs w:val="24"/>
                <w:lang w:val="en-GB"/>
              </w:rPr>
              <w:t>Neighbourhood Plan</w:t>
            </w:r>
            <w:r w:rsidRPr="00563591">
              <w:rPr>
                <w:rFonts w:ascii="Arial" w:hAnsi="Arial" w:cs="Arial"/>
                <w:color w:val="231F20"/>
                <w:sz w:val="24"/>
                <w:szCs w:val="24"/>
                <w:lang w:val="en-GB"/>
              </w:rPr>
              <w:t>.</w:t>
            </w:r>
          </w:p>
          <w:p w14:paraId="073CA0B4" w14:textId="77777777" w:rsidR="00995FCE" w:rsidRPr="00563591" w:rsidRDefault="00995FCE" w:rsidP="008A7EA4">
            <w:pPr>
              <w:pStyle w:val="TableParagraph"/>
              <w:numPr>
                <w:ilvl w:val="0"/>
                <w:numId w:val="2"/>
              </w:numPr>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 xml:space="preserve">send a copy of the </w:t>
            </w:r>
            <w:r w:rsidR="000D234F" w:rsidRPr="00563591">
              <w:rPr>
                <w:rFonts w:ascii="Arial" w:hAnsi="Arial" w:cs="Arial"/>
                <w:color w:val="231F20"/>
                <w:sz w:val="24"/>
                <w:szCs w:val="24"/>
                <w:lang w:val="en-GB"/>
              </w:rPr>
              <w:t>Neighbourhood Plan</w:t>
            </w:r>
            <w:r w:rsidRPr="00563591">
              <w:rPr>
                <w:rFonts w:ascii="Arial" w:hAnsi="Arial" w:cs="Arial"/>
                <w:color w:val="231F20"/>
                <w:sz w:val="24"/>
                <w:szCs w:val="24"/>
                <w:lang w:val="en-GB"/>
              </w:rPr>
              <w:t xml:space="preserve"> to the LPA. (Regulation 14 of the Neighbourhood Planning (General) Regulations 2012.</w:t>
            </w:r>
          </w:p>
        </w:tc>
        <w:tc>
          <w:tcPr>
            <w:tcW w:w="6378" w:type="dxa"/>
          </w:tcPr>
          <w:p w14:paraId="3BEDCB12" w14:textId="44861D8D" w:rsidR="007376B3" w:rsidRPr="00563591" w:rsidRDefault="00763C93" w:rsidP="008A7EA4">
            <w:pPr>
              <w:spacing w:line="360" w:lineRule="auto"/>
              <w:rPr>
                <w:sz w:val="24"/>
                <w:szCs w:val="24"/>
              </w:rPr>
            </w:pPr>
            <w:r>
              <w:rPr>
                <w:sz w:val="24"/>
                <w:szCs w:val="24"/>
              </w:rPr>
              <w:lastRenderedPageBreak/>
              <w:t>Waterbeach</w:t>
            </w:r>
            <w:r w:rsidR="00995FCE" w:rsidRPr="00563591">
              <w:rPr>
                <w:sz w:val="24"/>
                <w:szCs w:val="24"/>
              </w:rPr>
              <w:t xml:space="preserve"> Parish Council has complied with the requirements of the regulations in respect of the scope of their pre-submission consultation and this is evidenced </w:t>
            </w:r>
            <w:r w:rsidR="00995FCE" w:rsidRPr="003C4DD0">
              <w:rPr>
                <w:sz w:val="24"/>
                <w:szCs w:val="24"/>
              </w:rPr>
              <w:t>wit</w:t>
            </w:r>
            <w:r w:rsidR="005D0E85" w:rsidRPr="003C4DD0">
              <w:rPr>
                <w:sz w:val="24"/>
                <w:szCs w:val="24"/>
              </w:rPr>
              <w:t xml:space="preserve">hin </w:t>
            </w:r>
            <w:r w:rsidR="00625273" w:rsidRPr="003C4DD0">
              <w:rPr>
                <w:sz w:val="24"/>
                <w:szCs w:val="24"/>
              </w:rPr>
              <w:t xml:space="preserve">Chapter </w:t>
            </w:r>
            <w:r w:rsidR="003C4DD0" w:rsidRPr="003C4DD0">
              <w:rPr>
                <w:sz w:val="24"/>
                <w:szCs w:val="24"/>
              </w:rPr>
              <w:t>7</w:t>
            </w:r>
            <w:r w:rsidR="00995FCE" w:rsidRPr="003C4DD0">
              <w:rPr>
                <w:sz w:val="24"/>
                <w:szCs w:val="24"/>
              </w:rPr>
              <w:t xml:space="preserve"> of their submitted Consultation Statement.</w:t>
            </w:r>
            <w:r w:rsidR="00995FCE" w:rsidRPr="00563591">
              <w:rPr>
                <w:sz w:val="24"/>
                <w:szCs w:val="24"/>
              </w:rPr>
              <w:t xml:space="preserve"> </w:t>
            </w:r>
          </w:p>
          <w:p w14:paraId="2C94356D" w14:textId="77777777" w:rsidR="007376B3" w:rsidRPr="00563591" w:rsidRDefault="007376B3" w:rsidP="008A7EA4">
            <w:pPr>
              <w:spacing w:line="360" w:lineRule="auto"/>
              <w:rPr>
                <w:sz w:val="24"/>
                <w:szCs w:val="24"/>
              </w:rPr>
            </w:pPr>
          </w:p>
          <w:p w14:paraId="4CD25FCD" w14:textId="4AA560A3" w:rsidR="00995FCE" w:rsidRPr="00563591" w:rsidRDefault="00995FCE" w:rsidP="008A7EA4">
            <w:pPr>
              <w:spacing w:line="360" w:lineRule="auto"/>
              <w:rPr>
                <w:sz w:val="24"/>
                <w:szCs w:val="24"/>
              </w:rPr>
            </w:pPr>
            <w:r w:rsidRPr="00563591">
              <w:rPr>
                <w:sz w:val="24"/>
                <w:szCs w:val="24"/>
              </w:rPr>
              <w:lastRenderedPageBreak/>
              <w:t>The consultation period for the pre-submissio</w:t>
            </w:r>
            <w:r w:rsidR="007376B3" w:rsidRPr="00563591">
              <w:rPr>
                <w:sz w:val="24"/>
                <w:szCs w:val="24"/>
              </w:rPr>
              <w:t xml:space="preserve">n Neighbourhood Plan was </w:t>
            </w:r>
            <w:r w:rsidR="00557D6E" w:rsidRPr="00563591">
              <w:rPr>
                <w:sz w:val="24"/>
                <w:szCs w:val="24"/>
              </w:rPr>
              <w:t>1</w:t>
            </w:r>
            <w:r w:rsidR="00763C93">
              <w:rPr>
                <w:sz w:val="24"/>
                <w:szCs w:val="24"/>
              </w:rPr>
              <w:t>3 January to 24 February 2020</w:t>
            </w:r>
            <w:r w:rsidR="007376B3" w:rsidRPr="00563591">
              <w:rPr>
                <w:sz w:val="24"/>
                <w:szCs w:val="24"/>
              </w:rPr>
              <w:t xml:space="preserve">. </w:t>
            </w:r>
            <w:r w:rsidRPr="00563591">
              <w:rPr>
                <w:sz w:val="24"/>
                <w:szCs w:val="24"/>
              </w:rPr>
              <w:t>The statutory consultation bodies co</w:t>
            </w:r>
            <w:r w:rsidR="00811325" w:rsidRPr="00563591">
              <w:rPr>
                <w:sz w:val="24"/>
                <w:szCs w:val="24"/>
              </w:rPr>
              <w:t>nsulted are lis</w:t>
            </w:r>
            <w:r w:rsidR="00811325" w:rsidRPr="0044788A">
              <w:rPr>
                <w:sz w:val="24"/>
                <w:szCs w:val="24"/>
              </w:rPr>
              <w:t xml:space="preserve">ted in </w:t>
            </w:r>
            <w:r w:rsidR="00445D65" w:rsidRPr="0044788A">
              <w:rPr>
                <w:sz w:val="24"/>
                <w:szCs w:val="24"/>
              </w:rPr>
              <w:t>Table 7.1 on page 22</w:t>
            </w:r>
            <w:r w:rsidRPr="0044788A">
              <w:rPr>
                <w:sz w:val="24"/>
                <w:szCs w:val="24"/>
              </w:rPr>
              <w:t xml:space="preserve"> of the Consultation Statement.</w:t>
            </w:r>
          </w:p>
          <w:p w14:paraId="3DB22712" w14:textId="77777777" w:rsidR="00995FCE" w:rsidRPr="00563591" w:rsidRDefault="00995FCE" w:rsidP="008A7EA4">
            <w:pPr>
              <w:spacing w:line="360" w:lineRule="auto"/>
              <w:rPr>
                <w:sz w:val="24"/>
                <w:szCs w:val="24"/>
              </w:rPr>
            </w:pPr>
          </w:p>
          <w:p w14:paraId="7691B115" w14:textId="77777777" w:rsidR="00995FCE" w:rsidRPr="00563591" w:rsidRDefault="00995FCE" w:rsidP="008A7EA4">
            <w:pPr>
              <w:spacing w:line="360" w:lineRule="auto"/>
              <w:rPr>
                <w:sz w:val="24"/>
                <w:szCs w:val="24"/>
              </w:rPr>
            </w:pPr>
            <w:r w:rsidRPr="00563591">
              <w:rPr>
                <w:sz w:val="24"/>
                <w:szCs w:val="24"/>
              </w:rPr>
              <w:t xml:space="preserve">A copy of the </w:t>
            </w:r>
            <w:r w:rsidR="000D234F" w:rsidRPr="00563591">
              <w:rPr>
                <w:sz w:val="24"/>
                <w:szCs w:val="24"/>
              </w:rPr>
              <w:t>p</w:t>
            </w:r>
            <w:r w:rsidRPr="00563591">
              <w:rPr>
                <w:sz w:val="24"/>
                <w:szCs w:val="24"/>
              </w:rPr>
              <w:t>re</w:t>
            </w:r>
            <w:r w:rsidR="000D234F" w:rsidRPr="00563591">
              <w:rPr>
                <w:sz w:val="24"/>
                <w:szCs w:val="24"/>
              </w:rPr>
              <w:t>-s</w:t>
            </w:r>
            <w:r w:rsidRPr="00563591">
              <w:rPr>
                <w:sz w:val="24"/>
                <w:szCs w:val="24"/>
              </w:rPr>
              <w:t>ubmission Neighbourhood Plan was provided to the LPA.</w:t>
            </w:r>
          </w:p>
        </w:tc>
        <w:tc>
          <w:tcPr>
            <w:tcW w:w="2159" w:type="dxa"/>
          </w:tcPr>
          <w:p w14:paraId="4E4360C6" w14:textId="77777777" w:rsidR="00995FCE" w:rsidRPr="00563591" w:rsidRDefault="000D234F" w:rsidP="008A7EA4">
            <w:pPr>
              <w:spacing w:line="360" w:lineRule="auto"/>
              <w:rPr>
                <w:sz w:val="24"/>
                <w:szCs w:val="24"/>
              </w:rPr>
            </w:pPr>
            <w:r w:rsidRPr="00563591">
              <w:rPr>
                <w:sz w:val="24"/>
                <w:szCs w:val="24"/>
              </w:rPr>
              <w:lastRenderedPageBreak/>
              <w:t>Yes</w:t>
            </w:r>
          </w:p>
        </w:tc>
      </w:tr>
      <w:tr w:rsidR="000D234F" w:rsidRPr="00563591" w14:paraId="69D009B8" w14:textId="77777777" w:rsidTr="00995FCE">
        <w:tc>
          <w:tcPr>
            <w:tcW w:w="5637" w:type="dxa"/>
          </w:tcPr>
          <w:p w14:paraId="1A380735" w14:textId="77777777" w:rsidR="000D234F" w:rsidRPr="00563591" w:rsidRDefault="000D234F" w:rsidP="008A7EA4">
            <w:pPr>
              <w:pStyle w:val="TableParagraph"/>
              <w:spacing w:line="360" w:lineRule="auto"/>
              <w:ind w:right="156"/>
              <w:rPr>
                <w:rFonts w:ascii="Arial" w:hAnsi="Arial" w:cs="Arial"/>
                <w:color w:val="231F20"/>
                <w:sz w:val="24"/>
                <w:szCs w:val="24"/>
                <w:lang w:val="en-GB"/>
              </w:rPr>
            </w:pPr>
            <w:r w:rsidRPr="00563591">
              <w:rPr>
                <w:rFonts w:ascii="Arial" w:hAnsi="Arial" w:cs="Arial"/>
                <w:color w:val="231F20"/>
                <w:sz w:val="24"/>
                <w:szCs w:val="24"/>
                <w:lang w:val="en-GB"/>
              </w:rPr>
              <w:t>Are there any conflicts in the Neighbourhood Plan between policies and other statements or information? (s38</w:t>
            </w:r>
            <w:proofErr w:type="gramStart"/>
            <w:r w:rsidRPr="00563591">
              <w:rPr>
                <w:rFonts w:ascii="Arial" w:hAnsi="Arial" w:cs="Arial"/>
                <w:color w:val="231F20"/>
                <w:sz w:val="24"/>
                <w:szCs w:val="24"/>
                <w:lang w:val="en-GB"/>
              </w:rPr>
              <w:t>B(</w:t>
            </w:r>
            <w:proofErr w:type="gramEnd"/>
            <w:r w:rsidRPr="00563591">
              <w:rPr>
                <w:rFonts w:ascii="Arial" w:hAnsi="Arial" w:cs="Arial"/>
                <w:color w:val="231F20"/>
                <w:sz w:val="24"/>
                <w:szCs w:val="24"/>
                <w:lang w:val="en-GB"/>
              </w:rPr>
              <w:t>3) Planning and Compulsory Purchase Act 2004.)</w:t>
            </w:r>
          </w:p>
          <w:p w14:paraId="727934AC" w14:textId="77777777" w:rsidR="00631103" w:rsidRPr="00563591" w:rsidRDefault="00631103" w:rsidP="008A7EA4">
            <w:pPr>
              <w:pStyle w:val="TableParagraph"/>
              <w:spacing w:line="360" w:lineRule="auto"/>
              <w:ind w:right="156"/>
              <w:rPr>
                <w:rFonts w:ascii="Arial" w:hAnsi="Arial" w:cs="Arial"/>
                <w:color w:val="231F20"/>
                <w:sz w:val="24"/>
                <w:szCs w:val="24"/>
                <w:lang w:val="en-GB"/>
              </w:rPr>
            </w:pPr>
          </w:p>
          <w:p w14:paraId="2EE6A212" w14:textId="77777777" w:rsidR="00631103" w:rsidRPr="00563591" w:rsidRDefault="00631103" w:rsidP="008A7EA4">
            <w:pPr>
              <w:pStyle w:val="TableParagraph"/>
              <w:spacing w:line="360" w:lineRule="auto"/>
              <w:ind w:right="156"/>
              <w:rPr>
                <w:rFonts w:ascii="Arial" w:hAnsi="Arial" w:cs="Arial"/>
                <w:i/>
                <w:color w:val="231F20"/>
                <w:sz w:val="24"/>
                <w:szCs w:val="24"/>
                <w:lang w:val="en-GB"/>
              </w:rPr>
            </w:pPr>
            <w:r w:rsidRPr="00563591">
              <w:rPr>
                <w:rFonts w:ascii="Arial" w:hAnsi="Arial" w:cs="Arial"/>
                <w:i/>
                <w:color w:val="231F20"/>
                <w:sz w:val="24"/>
                <w:szCs w:val="24"/>
                <w:lang w:val="en-GB"/>
              </w:rPr>
              <w:lastRenderedPageBreak/>
              <w:t>If to any extent a policy set out in a neighbourhood development plan conflicts with any other statement or information in the plan, the conflict must be resolved in favour of the policy.</w:t>
            </w:r>
          </w:p>
        </w:tc>
        <w:tc>
          <w:tcPr>
            <w:tcW w:w="6378" w:type="dxa"/>
          </w:tcPr>
          <w:p w14:paraId="60E4627B" w14:textId="77777777" w:rsidR="000D234F" w:rsidRPr="00563591" w:rsidRDefault="000D234F" w:rsidP="008A7EA4">
            <w:pPr>
              <w:spacing w:line="360" w:lineRule="auto"/>
              <w:rPr>
                <w:sz w:val="24"/>
                <w:szCs w:val="24"/>
              </w:rPr>
            </w:pPr>
            <w:r w:rsidRPr="00563591">
              <w:rPr>
                <w:sz w:val="24"/>
                <w:szCs w:val="24"/>
              </w:rPr>
              <w:lastRenderedPageBreak/>
              <w:t>No, there are no conflicts.</w:t>
            </w:r>
          </w:p>
        </w:tc>
        <w:tc>
          <w:tcPr>
            <w:tcW w:w="2159" w:type="dxa"/>
          </w:tcPr>
          <w:p w14:paraId="34A2EFA3" w14:textId="77777777" w:rsidR="000D234F" w:rsidRPr="00563591" w:rsidRDefault="000D234F" w:rsidP="008A7EA4">
            <w:pPr>
              <w:spacing w:line="360" w:lineRule="auto"/>
              <w:rPr>
                <w:sz w:val="24"/>
                <w:szCs w:val="24"/>
              </w:rPr>
            </w:pPr>
            <w:r w:rsidRPr="00563591">
              <w:rPr>
                <w:sz w:val="24"/>
                <w:szCs w:val="24"/>
              </w:rPr>
              <w:t>Yes</w:t>
            </w:r>
          </w:p>
        </w:tc>
      </w:tr>
      <w:tr w:rsidR="000D234F" w:rsidRPr="00563591" w14:paraId="183D4244" w14:textId="77777777" w:rsidTr="00995FCE">
        <w:tc>
          <w:tcPr>
            <w:tcW w:w="5637" w:type="dxa"/>
          </w:tcPr>
          <w:p w14:paraId="6D11B8F3" w14:textId="77777777" w:rsidR="000D234F" w:rsidRPr="00563591" w:rsidRDefault="000D234F" w:rsidP="008A7EA4">
            <w:pPr>
              <w:pStyle w:val="TableParagraph"/>
              <w:spacing w:line="360" w:lineRule="auto"/>
              <w:ind w:right="156"/>
              <w:rPr>
                <w:rFonts w:ascii="Arial" w:hAnsi="Arial" w:cs="Arial"/>
                <w:i/>
                <w:color w:val="231F20"/>
                <w:sz w:val="24"/>
                <w:szCs w:val="24"/>
                <w:lang w:val="en-GB"/>
              </w:rPr>
            </w:pPr>
            <w:r w:rsidRPr="00563591">
              <w:rPr>
                <w:rFonts w:ascii="Arial" w:hAnsi="Arial" w:cs="Arial"/>
                <w:color w:val="231F20"/>
                <w:sz w:val="24"/>
                <w:szCs w:val="24"/>
                <w:lang w:val="en-GB"/>
              </w:rPr>
              <w:t>The Conservation of Habitats and Species</w:t>
            </w:r>
            <w:r w:rsidR="009D6B5A" w:rsidRPr="00563591">
              <w:rPr>
                <w:rFonts w:ascii="Arial" w:hAnsi="Arial" w:cs="Arial"/>
                <w:color w:val="231F20"/>
                <w:sz w:val="24"/>
                <w:szCs w:val="24"/>
                <w:lang w:val="en-GB"/>
              </w:rPr>
              <w:t xml:space="preserve"> </w:t>
            </w:r>
            <w:r w:rsidRPr="00563591">
              <w:rPr>
                <w:rFonts w:ascii="Arial" w:hAnsi="Arial" w:cs="Arial"/>
                <w:color w:val="231F20"/>
                <w:sz w:val="24"/>
                <w:szCs w:val="24"/>
                <w:lang w:val="en-GB"/>
              </w:rPr>
              <w:t>Regulations 2010 as amended by Schedule 2 of the Neighbourhood Planning (General Regulations) 2012, i.e. Reg</w:t>
            </w:r>
            <w:r w:rsidR="009D6B5A" w:rsidRPr="00563591">
              <w:rPr>
                <w:rFonts w:ascii="Arial" w:hAnsi="Arial" w:cs="Arial"/>
                <w:color w:val="231F20"/>
                <w:sz w:val="24"/>
                <w:szCs w:val="24"/>
                <w:lang w:val="en-GB"/>
              </w:rPr>
              <w:t>ulations</w:t>
            </w:r>
            <w:r w:rsidRPr="00563591">
              <w:rPr>
                <w:rFonts w:ascii="Arial" w:hAnsi="Arial" w:cs="Arial"/>
                <w:color w:val="231F20"/>
                <w:sz w:val="24"/>
                <w:szCs w:val="24"/>
                <w:lang w:val="en-GB"/>
              </w:rPr>
              <w:t xml:space="preserve"> 102 and 102A,</w:t>
            </w:r>
            <w:r w:rsidR="00F601F3" w:rsidRPr="00563591">
              <w:rPr>
                <w:rFonts w:ascii="Arial" w:hAnsi="Arial" w:cs="Arial"/>
                <w:color w:val="231F20"/>
                <w:sz w:val="24"/>
                <w:szCs w:val="24"/>
                <w:lang w:val="en-GB"/>
              </w:rPr>
              <w:t xml:space="preserve"> </w:t>
            </w:r>
            <w:r w:rsidRPr="00563591">
              <w:rPr>
                <w:rFonts w:ascii="Arial" w:hAnsi="Arial" w:cs="Arial"/>
                <w:color w:val="231F20"/>
                <w:sz w:val="24"/>
                <w:szCs w:val="24"/>
                <w:lang w:val="en-GB"/>
              </w:rPr>
              <w:t xml:space="preserve"> Assessment of implications for European site: </w:t>
            </w:r>
            <w:r w:rsidRPr="00563591">
              <w:rPr>
                <w:rFonts w:ascii="Arial" w:hAnsi="Arial" w:cs="Arial"/>
                <w:i/>
                <w:color w:val="231F20"/>
                <w:sz w:val="24"/>
                <w:szCs w:val="24"/>
                <w:lang w:val="en-GB"/>
              </w:rPr>
              <w:t>A qualifying body which submits a proposal for a neighbourhood development plan must provide such information as the competent authority may reasonably require for the purposes of the assessment under regulation 102 or to enable them to determine whether that assessment is required.</w:t>
            </w:r>
          </w:p>
          <w:p w14:paraId="5BF12BB3" w14:textId="77777777" w:rsidR="00F601F3" w:rsidRPr="00563591" w:rsidRDefault="00F601F3" w:rsidP="008A7EA4">
            <w:pPr>
              <w:pStyle w:val="TableParagraph"/>
              <w:spacing w:line="360" w:lineRule="auto"/>
              <w:ind w:right="156"/>
              <w:rPr>
                <w:rFonts w:ascii="Arial" w:hAnsi="Arial" w:cs="Arial"/>
                <w:i/>
                <w:color w:val="231F20"/>
                <w:sz w:val="24"/>
                <w:szCs w:val="24"/>
                <w:lang w:val="en-GB"/>
              </w:rPr>
            </w:pPr>
          </w:p>
          <w:p w14:paraId="4E2661BF" w14:textId="77777777" w:rsidR="00F601F3" w:rsidRPr="00563591" w:rsidRDefault="00F601F3" w:rsidP="008A7EA4">
            <w:pPr>
              <w:pStyle w:val="TableParagraph"/>
              <w:spacing w:line="360" w:lineRule="auto"/>
              <w:ind w:right="156"/>
              <w:rPr>
                <w:rFonts w:ascii="Arial" w:hAnsi="Arial" w:cs="Arial"/>
                <w:bCs/>
                <w:color w:val="231F20"/>
                <w:sz w:val="24"/>
                <w:szCs w:val="24"/>
                <w:lang w:val="en-GB"/>
              </w:rPr>
            </w:pPr>
            <w:r w:rsidRPr="00563591">
              <w:rPr>
                <w:rFonts w:ascii="Arial" w:hAnsi="Arial" w:cs="Arial"/>
                <w:bCs/>
                <w:color w:val="231F20"/>
                <w:sz w:val="24"/>
                <w:szCs w:val="24"/>
                <w:lang w:val="en-GB"/>
              </w:rPr>
              <w:t xml:space="preserve">Conservation of Habitats and Species (Various </w:t>
            </w:r>
            <w:r w:rsidRPr="00563591">
              <w:rPr>
                <w:rFonts w:ascii="Arial" w:hAnsi="Arial" w:cs="Arial"/>
                <w:bCs/>
                <w:color w:val="231F20"/>
                <w:sz w:val="24"/>
                <w:szCs w:val="24"/>
                <w:lang w:val="en-GB"/>
              </w:rPr>
              <w:lastRenderedPageBreak/>
              <w:t>Amendments) (England and Wales) Regulations 2018 came into force on 28 December 2018.</w:t>
            </w:r>
            <w:r w:rsidRPr="00563591">
              <w:rPr>
                <w:sz w:val="24"/>
                <w:szCs w:val="24"/>
              </w:rPr>
              <w:t xml:space="preserve"> </w:t>
            </w:r>
            <w:r w:rsidRPr="00563591">
              <w:rPr>
                <w:rFonts w:ascii="Arial" w:hAnsi="Arial" w:cs="Arial"/>
                <w:bCs/>
                <w:color w:val="231F20"/>
                <w:sz w:val="24"/>
                <w:szCs w:val="24"/>
                <w:lang w:val="en-GB"/>
              </w:rPr>
              <w:t>These Regulations amend the basic condition set out in</w:t>
            </w:r>
          </w:p>
          <w:p w14:paraId="3180AF8F" w14:textId="77777777" w:rsidR="00F601F3" w:rsidRPr="00563591" w:rsidRDefault="00F601F3" w:rsidP="008A7EA4">
            <w:pPr>
              <w:pStyle w:val="TableParagraph"/>
              <w:spacing w:line="360" w:lineRule="auto"/>
              <w:ind w:right="156"/>
              <w:rPr>
                <w:rFonts w:ascii="Arial" w:hAnsi="Arial" w:cs="Arial"/>
                <w:bCs/>
                <w:color w:val="231F20"/>
                <w:sz w:val="24"/>
                <w:szCs w:val="24"/>
                <w:lang w:val="en-GB"/>
              </w:rPr>
            </w:pPr>
            <w:r w:rsidRPr="00563591">
              <w:rPr>
                <w:rFonts w:ascii="Arial" w:hAnsi="Arial" w:cs="Arial"/>
                <w:bCs/>
                <w:color w:val="231F20"/>
                <w:sz w:val="24"/>
                <w:szCs w:val="24"/>
                <w:lang w:val="en-GB"/>
              </w:rPr>
              <w:t>Regulation 32 and Schedule 2 (Habitats) of the Neighbourhood Planning (General)</w:t>
            </w:r>
          </w:p>
          <w:p w14:paraId="2389EB74" w14:textId="77777777" w:rsidR="00F601F3" w:rsidRPr="00563591" w:rsidRDefault="00F601F3" w:rsidP="008A7EA4">
            <w:pPr>
              <w:pStyle w:val="TableParagraph"/>
              <w:spacing w:line="360" w:lineRule="auto"/>
              <w:ind w:right="156"/>
              <w:rPr>
                <w:rFonts w:ascii="Arial" w:hAnsi="Arial" w:cs="Arial"/>
                <w:bCs/>
                <w:color w:val="231F20"/>
                <w:sz w:val="24"/>
                <w:szCs w:val="24"/>
                <w:lang w:val="en-GB"/>
              </w:rPr>
            </w:pPr>
            <w:r w:rsidRPr="00563591">
              <w:rPr>
                <w:rFonts w:ascii="Arial" w:hAnsi="Arial" w:cs="Arial"/>
                <w:bCs/>
                <w:color w:val="231F20"/>
                <w:sz w:val="24"/>
                <w:szCs w:val="24"/>
                <w:lang w:val="en-GB"/>
              </w:rPr>
              <w:t>Regulations 2012 (as amended)</w:t>
            </w:r>
          </w:p>
          <w:p w14:paraId="7DB60383" w14:textId="77777777" w:rsidR="00DD389C" w:rsidRPr="00563591" w:rsidRDefault="00DD389C" w:rsidP="008A7EA4">
            <w:pPr>
              <w:spacing w:line="360" w:lineRule="auto"/>
              <w:rPr>
                <w:sz w:val="24"/>
                <w:szCs w:val="24"/>
              </w:rPr>
            </w:pPr>
          </w:p>
          <w:p w14:paraId="1DC923FB" w14:textId="77777777" w:rsidR="00DD389C" w:rsidRPr="00563591" w:rsidRDefault="00DD389C" w:rsidP="008A7EA4">
            <w:pPr>
              <w:spacing w:line="360" w:lineRule="auto"/>
              <w:rPr>
                <w:sz w:val="24"/>
                <w:szCs w:val="24"/>
              </w:rPr>
            </w:pPr>
          </w:p>
          <w:p w14:paraId="7438C2BE" w14:textId="77777777" w:rsidR="00DD389C" w:rsidRPr="00563591" w:rsidRDefault="00DD389C" w:rsidP="008A7EA4">
            <w:pPr>
              <w:spacing w:line="360" w:lineRule="auto"/>
              <w:rPr>
                <w:rFonts w:eastAsia="Verdana" w:cs="Arial"/>
                <w:bCs/>
                <w:color w:val="231F20"/>
                <w:sz w:val="24"/>
                <w:szCs w:val="24"/>
              </w:rPr>
            </w:pPr>
          </w:p>
          <w:p w14:paraId="30DBCC41" w14:textId="48760F60" w:rsidR="00DD389C" w:rsidRPr="00563591" w:rsidRDefault="00DD389C" w:rsidP="008A7EA4">
            <w:pPr>
              <w:spacing w:line="360" w:lineRule="auto"/>
              <w:jc w:val="center"/>
              <w:rPr>
                <w:sz w:val="24"/>
                <w:szCs w:val="24"/>
              </w:rPr>
            </w:pPr>
          </w:p>
        </w:tc>
        <w:tc>
          <w:tcPr>
            <w:tcW w:w="6378" w:type="dxa"/>
          </w:tcPr>
          <w:p w14:paraId="7B37A224" w14:textId="7D31C1C8" w:rsidR="00625273" w:rsidRPr="00563591" w:rsidRDefault="00971E16" w:rsidP="008A7EA4">
            <w:pPr>
              <w:spacing w:line="360" w:lineRule="auto"/>
              <w:rPr>
                <w:sz w:val="24"/>
                <w:szCs w:val="24"/>
              </w:rPr>
            </w:pPr>
            <w:r w:rsidRPr="00563591">
              <w:rPr>
                <w:sz w:val="24"/>
                <w:szCs w:val="24"/>
              </w:rPr>
              <w:lastRenderedPageBreak/>
              <w:t xml:space="preserve">In </w:t>
            </w:r>
            <w:r w:rsidR="00763C93">
              <w:rPr>
                <w:sz w:val="24"/>
                <w:szCs w:val="24"/>
              </w:rPr>
              <w:t>March 2020</w:t>
            </w:r>
            <w:r w:rsidR="005D0E85" w:rsidRPr="00563591">
              <w:rPr>
                <w:sz w:val="24"/>
                <w:szCs w:val="24"/>
              </w:rPr>
              <w:t xml:space="preserve">, South Cambridgeshire District Council and </w:t>
            </w:r>
            <w:r w:rsidR="00763C93">
              <w:rPr>
                <w:sz w:val="24"/>
                <w:szCs w:val="24"/>
              </w:rPr>
              <w:t>Waterbeach</w:t>
            </w:r>
            <w:r w:rsidR="003C10D4" w:rsidRPr="00563591">
              <w:rPr>
                <w:sz w:val="24"/>
                <w:szCs w:val="24"/>
              </w:rPr>
              <w:t xml:space="preserve"> </w:t>
            </w:r>
            <w:r w:rsidR="005D0E85" w:rsidRPr="00563591">
              <w:rPr>
                <w:sz w:val="24"/>
                <w:szCs w:val="24"/>
              </w:rPr>
              <w:t>Parish Council published a Strategic Environmental Assessment (SEA) Screening Determination Statement.</w:t>
            </w:r>
            <w:r w:rsidR="007C333E" w:rsidRPr="00563591">
              <w:rPr>
                <w:sz w:val="24"/>
                <w:szCs w:val="24"/>
              </w:rPr>
              <w:t xml:space="preserve"> This statement sets out the reasons for the determination that the draft </w:t>
            </w:r>
            <w:r w:rsidR="00763C93">
              <w:rPr>
                <w:sz w:val="24"/>
                <w:szCs w:val="24"/>
              </w:rPr>
              <w:t>Waterbeach</w:t>
            </w:r>
            <w:r w:rsidR="007C333E" w:rsidRPr="00563591">
              <w:rPr>
                <w:sz w:val="24"/>
                <w:szCs w:val="24"/>
              </w:rPr>
              <w:t xml:space="preserve"> Neighbourhood Plan is unlikely to result in significant environmental effects and therefore does not require a Strategic Environmental Assessment.</w:t>
            </w:r>
            <w:r w:rsidR="00625273" w:rsidRPr="00563591">
              <w:rPr>
                <w:sz w:val="24"/>
                <w:szCs w:val="24"/>
              </w:rPr>
              <w:t xml:space="preserve"> In </w:t>
            </w:r>
            <w:r w:rsidR="00DD389C" w:rsidRPr="00563591">
              <w:rPr>
                <w:sz w:val="24"/>
                <w:szCs w:val="24"/>
              </w:rPr>
              <w:t>addition,</w:t>
            </w:r>
            <w:r w:rsidR="00625273" w:rsidRPr="00563591">
              <w:rPr>
                <w:sz w:val="24"/>
                <w:szCs w:val="24"/>
              </w:rPr>
              <w:t xml:space="preserve"> this statement determines that the making of the </w:t>
            </w:r>
            <w:r w:rsidR="00763C93">
              <w:rPr>
                <w:sz w:val="24"/>
                <w:szCs w:val="24"/>
              </w:rPr>
              <w:t>Waterbeach</w:t>
            </w:r>
            <w:r w:rsidR="00625273" w:rsidRPr="00563591">
              <w:rPr>
                <w:sz w:val="24"/>
                <w:szCs w:val="24"/>
              </w:rPr>
              <w:t xml:space="preserve"> Neighbourhood Plan is not likely to have a significant effect on a European site. </w:t>
            </w:r>
          </w:p>
          <w:p w14:paraId="205438B0" w14:textId="77777777" w:rsidR="007C333E" w:rsidRPr="00563591" w:rsidRDefault="007C333E" w:rsidP="008A7EA4">
            <w:pPr>
              <w:spacing w:line="360" w:lineRule="auto"/>
              <w:rPr>
                <w:sz w:val="24"/>
                <w:szCs w:val="24"/>
              </w:rPr>
            </w:pPr>
          </w:p>
          <w:p w14:paraId="5A0F8A48" w14:textId="5B2E9716" w:rsidR="00971E16" w:rsidRPr="00563591" w:rsidRDefault="00971E16" w:rsidP="008A7EA4">
            <w:pPr>
              <w:spacing w:line="360" w:lineRule="auto"/>
              <w:rPr>
                <w:sz w:val="24"/>
                <w:szCs w:val="24"/>
              </w:rPr>
            </w:pPr>
            <w:r w:rsidRPr="00563591">
              <w:rPr>
                <w:sz w:val="24"/>
                <w:szCs w:val="24"/>
              </w:rPr>
              <w:t xml:space="preserve">This Screening Determination Statement was underpinned by a SEA Screening Report undertaken by </w:t>
            </w:r>
            <w:r w:rsidRPr="00563591">
              <w:rPr>
                <w:sz w:val="24"/>
                <w:szCs w:val="24"/>
              </w:rPr>
              <w:lastRenderedPageBreak/>
              <w:t xml:space="preserve">Essex Place Services on behalf of SCDC and </w:t>
            </w:r>
            <w:r w:rsidR="00763C93">
              <w:rPr>
                <w:sz w:val="24"/>
                <w:szCs w:val="24"/>
              </w:rPr>
              <w:t>Waterbeach</w:t>
            </w:r>
            <w:r w:rsidRPr="00563591">
              <w:rPr>
                <w:sz w:val="24"/>
                <w:szCs w:val="24"/>
              </w:rPr>
              <w:t xml:space="preserve"> Parish Council, and the opinions of the three statutory bodies. Consultation with the three statutory bodies (Environment Agency, Natural </w:t>
            </w:r>
            <w:proofErr w:type="gramStart"/>
            <w:r w:rsidRPr="00563591">
              <w:rPr>
                <w:sz w:val="24"/>
                <w:szCs w:val="24"/>
              </w:rPr>
              <w:t>England</w:t>
            </w:r>
            <w:proofErr w:type="gramEnd"/>
            <w:r w:rsidRPr="00563591">
              <w:rPr>
                <w:sz w:val="24"/>
                <w:szCs w:val="24"/>
              </w:rPr>
              <w:t xml:space="preserve"> and Historic England) on the draft screening report for the Neighbourhood Plan </w:t>
            </w:r>
            <w:r w:rsidR="007C333E" w:rsidRPr="00563591">
              <w:rPr>
                <w:sz w:val="24"/>
                <w:szCs w:val="24"/>
              </w:rPr>
              <w:t xml:space="preserve">took place in </w:t>
            </w:r>
            <w:r w:rsidR="00763C93">
              <w:rPr>
                <w:sz w:val="24"/>
                <w:szCs w:val="24"/>
              </w:rPr>
              <w:t>February 2020</w:t>
            </w:r>
            <w:r w:rsidR="007C333E" w:rsidRPr="00563591">
              <w:rPr>
                <w:sz w:val="24"/>
                <w:szCs w:val="24"/>
              </w:rPr>
              <w:t xml:space="preserve">. </w:t>
            </w:r>
            <w:r w:rsidRPr="00563591">
              <w:rPr>
                <w:sz w:val="24"/>
                <w:szCs w:val="24"/>
              </w:rPr>
              <w:t>The consultation responses received are included in Appendix 2 of the Screening Determination Statement. The statutory bodies agreed with the conclusion reached.</w:t>
            </w:r>
          </w:p>
          <w:p w14:paraId="2138DDE6" w14:textId="77777777" w:rsidR="007C333E" w:rsidRPr="00563591" w:rsidRDefault="007C333E" w:rsidP="008A7EA4">
            <w:pPr>
              <w:spacing w:line="360" w:lineRule="auto"/>
              <w:rPr>
                <w:sz w:val="24"/>
                <w:szCs w:val="24"/>
              </w:rPr>
            </w:pPr>
          </w:p>
          <w:p w14:paraId="1DA5900E" w14:textId="579D2C24" w:rsidR="000D3BD5" w:rsidRPr="00563591" w:rsidRDefault="00557D6E" w:rsidP="008A7EA4">
            <w:pPr>
              <w:spacing w:line="360" w:lineRule="auto"/>
              <w:rPr>
                <w:sz w:val="24"/>
                <w:szCs w:val="24"/>
              </w:rPr>
            </w:pPr>
            <w:r w:rsidRPr="00563591">
              <w:rPr>
                <w:sz w:val="24"/>
                <w:szCs w:val="24"/>
              </w:rPr>
              <w:t xml:space="preserve">The SEA Screening Determination Statement (including the SEA and HRA screening reports) is available on both the South Cambridgeshire District Council website and the </w:t>
            </w:r>
            <w:r w:rsidR="00763C93">
              <w:rPr>
                <w:sz w:val="24"/>
                <w:szCs w:val="24"/>
              </w:rPr>
              <w:t>Waterbeach</w:t>
            </w:r>
            <w:r w:rsidRPr="00563591">
              <w:rPr>
                <w:sz w:val="24"/>
                <w:szCs w:val="24"/>
              </w:rPr>
              <w:t xml:space="preserve"> Parish Council website alongside the submitted </w:t>
            </w:r>
            <w:r w:rsidR="00763C93">
              <w:rPr>
                <w:sz w:val="24"/>
                <w:szCs w:val="24"/>
              </w:rPr>
              <w:t>Waterbeach</w:t>
            </w:r>
            <w:r w:rsidRPr="00563591">
              <w:rPr>
                <w:sz w:val="24"/>
                <w:szCs w:val="24"/>
              </w:rPr>
              <w:t xml:space="preserve"> Neighbourhood Plan.</w:t>
            </w:r>
          </w:p>
        </w:tc>
        <w:tc>
          <w:tcPr>
            <w:tcW w:w="2159" w:type="dxa"/>
          </w:tcPr>
          <w:p w14:paraId="73943835" w14:textId="77777777" w:rsidR="000D234F" w:rsidRPr="00563591" w:rsidRDefault="000D234F" w:rsidP="008A7EA4">
            <w:pPr>
              <w:spacing w:line="360" w:lineRule="auto"/>
              <w:rPr>
                <w:sz w:val="24"/>
                <w:szCs w:val="24"/>
              </w:rPr>
            </w:pPr>
            <w:r w:rsidRPr="00563591">
              <w:rPr>
                <w:sz w:val="24"/>
                <w:szCs w:val="24"/>
              </w:rPr>
              <w:lastRenderedPageBreak/>
              <w:t>Yes</w:t>
            </w:r>
          </w:p>
        </w:tc>
      </w:tr>
    </w:tbl>
    <w:p w14:paraId="76879B6A" w14:textId="77777777" w:rsidR="00961F93" w:rsidRDefault="00961F93" w:rsidP="000D234F">
      <w:pPr>
        <w:rPr>
          <w:b/>
        </w:rPr>
      </w:pPr>
    </w:p>
    <w:p w14:paraId="5A14C51A" w14:textId="5F25D04C" w:rsidR="000D234F" w:rsidRDefault="000D234F" w:rsidP="000D234F">
      <w:pPr>
        <w:rPr>
          <w:b/>
        </w:rPr>
      </w:pPr>
      <w:r w:rsidRPr="000D234F">
        <w:rPr>
          <w:b/>
        </w:rPr>
        <w:t xml:space="preserve">CONCLUSION: South Cambridgeshire District Council has issued an initial confirmation that the submission version </w:t>
      </w:r>
      <w:r w:rsidR="00763C93">
        <w:rPr>
          <w:b/>
        </w:rPr>
        <w:t>Waterbeach</w:t>
      </w:r>
      <w:r w:rsidR="000D3BD5">
        <w:rPr>
          <w:b/>
        </w:rPr>
        <w:t xml:space="preserve"> </w:t>
      </w:r>
      <w:r w:rsidRPr="000D234F">
        <w:rPr>
          <w:b/>
        </w:rPr>
        <w:t>Neighbourhood Plan meets the legislative requirements.</w:t>
      </w:r>
    </w:p>
    <w:p w14:paraId="69DA694F" w14:textId="77777777" w:rsidR="000D234F" w:rsidRPr="000D234F" w:rsidRDefault="000D234F" w:rsidP="000D234F">
      <w:pPr>
        <w:rPr>
          <w:b/>
        </w:rPr>
      </w:pPr>
    </w:p>
    <w:p w14:paraId="7B06F275" w14:textId="77777777" w:rsidR="000D234F" w:rsidRDefault="000D234F" w:rsidP="000D234F">
      <w:r>
        <w:lastRenderedPageBreak/>
        <w:t>Where the draft neighbourhood plan submitted to a local planning authority meets the requirements in the legislation, the Local Planning Authority must publicise the neighbourhood plan for a minimum of 6 weeks, invite comments, notify any consu</w:t>
      </w:r>
      <w:r w:rsidR="009D6B5A">
        <w:t xml:space="preserve">ltation body referred to in the </w:t>
      </w:r>
      <w:r>
        <w:t>consultation statement and send the draft neighbourhood plan to independent examination. Following examination, the Council will determine whether or not the plan is ready for a public referendum or if further modifications are required (Schedule 4B of the Town and Country Planning Act 1990 (as varied by s38A &amp; 38C of the Town and Country Planning Act)).</w:t>
      </w:r>
    </w:p>
    <w:p w14:paraId="54906EE2" w14:textId="77777777" w:rsidR="000D234F" w:rsidRDefault="000D234F" w:rsidP="000D234F"/>
    <w:p w14:paraId="43FAC205" w14:textId="77777777" w:rsidR="00995FCE" w:rsidRDefault="000D234F" w:rsidP="000D234F">
      <w:r>
        <w:t>* Please note that all references to primary and secondary legislation are to those enactments as amended.</w:t>
      </w:r>
    </w:p>
    <w:sectPr w:rsidR="00995FCE" w:rsidSect="00995FCE">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CEA8" w14:textId="77777777" w:rsidR="00456E62" w:rsidRDefault="00456E62" w:rsidP="00E14454">
      <w:pPr>
        <w:spacing w:line="240" w:lineRule="auto"/>
      </w:pPr>
      <w:r>
        <w:separator/>
      </w:r>
    </w:p>
  </w:endnote>
  <w:endnote w:type="continuationSeparator" w:id="0">
    <w:p w14:paraId="79733C65" w14:textId="77777777" w:rsidR="00456E62" w:rsidRDefault="00456E62" w:rsidP="00E14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63468313"/>
      <w:docPartObj>
        <w:docPartGallery w:val="Page Numbers (Bottom of Page)"/>
        <w:docPartUnique/>
      </w:docPartObj>
    </w:sdtPr>
    <w:sdtEndPr>
      <w:rPr>
        <w:noProof/>
      </w:rPr>
    </w:sdtEndPr>
    <w:sdtContent>
      <w:p w14:paraId="608C551A" w14:textId="77777777" w:rsidR="00E14454" w:rsidRPr="00E14454" w:rsidRDefault="00E14454" w:rsidP="00E14454">
        <w:pPr>
          <w:pStyle w:val="Footer"/>
          <w:jc w:val="right"/>
          <w:rPr>
            <w:sz w:val="20"/>
          </w:rPr>
        </w:pPr>
        <w:r w:rsidRPr="00E14454">
          <w:rPr>
            <w:sz w:val="20"/>
          </w:rPr>
          <w:fldChar w:fldCharType="begin"/>
        </w:r>
        <w:r w:rsidRPr="00E14454">
          <w:rPr>
            <w:sz w:val="20"/>
          </w:rPr>
          <w:instrText xml:space="preserve"> PAGE   \* MERGEFORMAT </w:instrText>
        </w:r>
        <w:r w:rsidRPr="00E14454">
          <w:rPr>
            <w:sz w:val="20"/>
          </w:rPr>
          <w:fldChar w:fldCharType="separate"/>
        </w:r>
        <w:r w:rsidR="00C90F94">
          <w:rPr>
            <w:noProof/>
            <w:sz w:val="20"/>
          </w:rPr>
          <w:t>4</w:t>
        </w:r>
        <w:r w:rsidRPr="00E1445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FA097" w14:textId="77777777" w:rsidR="00456E62" w:rsidRDefault="00456E62" w:rsidP="00E14454">
      <w:pPr>
        <w:spacing w:line="240" w:lineRule="auto"/>
      </w:pPr>
      <w:r>
        <w:separator/>
      </w:r>
    </w:p>
  </w:footnote>
  <w:footnote w:type="continuationSeparator" w:id="0">
    <w:p w14:paraId="6B0BBB20" w14:textId="77777777" w:rsidR="00456E62" w:rsidRDefault="00456E62" w:rsidP="00E144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D1508"/>
    <w:multiLevelType w:val="hybridMultilevel"/>
    <w:tmpl w:val="FCA612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767F3"/>
    <w:multiLevelType w:val="hybridMultilevel"/>
    <w:tmpl w:val="87C4F534"/>
    <w:lvl w:ilvl="0" w:tplc="FB082C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557A8"/>
    <w:multiLevelType w:val="hybridMultilevel"/>
    <w:tmpl w:val="1DD4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D096A"/>
    <w:multiLevelType w:val="hybridMultilevel"/>
    <w:tmpl w:val="38A6A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B755EE"/>
    <w:multiLevelType w:val="hybridMultilevel"/>
    <w:tmpl w:val="C5D64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CE"/>
    <w:rsid w:val="00065E09"/>
    <w:rsid w:val="00077485"/>
    <w:rsid w:val="000C024C"/>
    <w:rsid w:val="000D234F"/>
    <w:rsid w:val="000D3BD5"/>
    <w:rsid w:val="000E75E4"/>
    <w:rsid w:val="001A675B"/>
    <w:rsid w:val="001D7BAD"/>
    <w:rsid w:val="001E5B1F"/>
    <w:rsid w:val="00267EFD"/>
    <w:rsid w:val="00274E6F"/>
    <w:rsid w:val="00280408"/>
    <w:rsid w:val="002D2752"/>
    <w:rsid w:val="00305B1F"/>
    <w:rsid w:val="00360C5F"/>
    <w:rsid w:val="00366451"/>
    <w:rsid w:val="00382088"/>
    <w:rsid w:val="003A5132"/>
    <w:rsid w:val="003A6D9A"/>
    <w:rsid w:val="003B6BE6"/>
    <w:rsid w:val="003C10D4"/>
    <w:rsid w:val="003C4DD0"/>
    <w:rsid w:val="003C6E04"/>
    <w:rsid w:val="003D0DBE"/>
    <w:rsid w:val="003D4075"/>
    <w:rsid w:val="003D6094"/>
    <w:rsid w:val="003E2409"/>
    <w:rsid w:val="003F2F18"/>
    <w:rsid w:val="004021B9"/>
    <w:rsid w:val="004443B8"/>
    <w:rsid w:val="00445D65"/>
    <w:rsid w:val="0044788A"/>
    <w:rsid w:val="00456E62"/>
    <w:rsid w:val="00457778"/>
    <w:rsid w:val="004730CF"/>
    <w:rsid w:val="0049108D"/>
    <w:rsid w:val="004B5A04"/>
    <w:rsid w:val="00515862"/>
    <w:rsid w:val="00557D6E"/>
    <w:rsid w:val="00563591"/>
    <w:rsid w:val="00582FC0"/>
    <w:rsid w:val="00591A89"/>
    <w:rsid w:val="005928C3"/>
    <w:rsid w:val="005A1D2D"/>
    <w:rsid w:val="005D0E85"/>
    <w:rsid w:val="00625273"/>
    <w:rsid w:val="00631103"/>
    <w:rsid w:val="00631F66"/>
    <w:rsid w:val="006657AD"/>
    <w:rsid w:val="006E5EFC"/>
    <w:rsid w:val="00707B89"/>
    <w:rsid w:val="00711B8F"/>
    <w:rsid w:val="007376B3"/>
    <w:rsid w:val="00763C93"/>
    <w:rsid w:val="00776E12"/>
    <w:rsid w:val="00795B2D"/>
    <w:rsid w:val="007A1144"/>
    <w:rsid w:val="007A6782"/>
    <w:rsid w:val="007C333E"/>
    <w:rsid w:val="00811325"/>
    <w:rsid w:val="00834C80"/>
    <w:rsid w:val="008701BA"/>
    <w:rsid w:val="008737B6"/>
    <w:rsid w:val="008A7EA4"/>
    <w:rsid w:val="008B101F"/>
    <w:rsid w:val="008B6D7F"/>
    <w:rsid w:val="008D7D91"/>
    <w:rsid w:val="008E167D"/>
    <w:rsid w:val="0091508C"/>
    <w:rsid w:val="00921863"/>
    <w:rsid w:val="009422B6"/>
    <w:rsid w:val="00961F93"/>
    <w:rsid w:val="009640A2"/>
    <w:rsid w:val="00971E16"/>
    <w:rsid w:val="00982C2F"/>
    <w:rsid w:val="00995FCE"/>
    <w:rsid w:val="009D6B5A"/>
    <w:rsid w:val="00A0214D"/>
    <w:rsid w:val="00A541A1"/>
    <w:rsid w:val="00BE3F52"/>
    <w:rsid w:val="00C16C94"/>
    <w:rsid w:val="00C254A7"/>
    <w:rsid w:val="00C71CF1"/>
    <w:rsid w:val="00C74AA6"/>
    <w:rsid w:val="00C904DD"/>
    <w:rsid w:val="00C90F94"/>
    <w:rsid w:val="00C918F6"/>
    <w:rsid w:val="00CB508E"/>
    <w:rsid w:val="00CB7762"/>
    <w:rsid w:val="00D07D47"/>
    <w:rsid w:val="00D16840"/>
    <w:rsid w:val="00D45F3F"/>
    <w:rsid w:val="00D50583"/>
    <w:rsid w:val="00D65859"/>
    <w:rsid w:val="00DA557D"/>
    <w:rsid w:val="00DA6FC1"/>
    <w:rsid w:val="00DD19F0"/>
    <w:rsid w:val="00DD389C"/>
    <w:rsid w:val="00E131C2"/>
    <w:rsid w:val="00E14454"/>
    <w:rsid w:val="00E81600"/>
    <w:rsid w:val="00EA076E"/>
    <w:rsid w:val="00EF1A8A"/>
    <w:rsid w:val="00F21BBB"/>
    <w:rsid w:val="00F535F1"/>
    <w:rsid w:val="00F541A2"/>
    <w:rsid w:val="00F601F3"/>
    <w:rsid w:val="00FE4173"/>
    <w:rsid w:val="00FF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84EE"/>
  <w15:docId w15:val="{733A31E6-E03F-40A6-B20D-D78C8DB7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8A"/>
    <w:pPr>
      <w:spacing w:line="280" w:lineRule="exact"/>
    </w:pPr>
    <w:rPr>
      <w:rFonts w:ascii="Arial" w:hAnsi="Arial"/>
      <w:sz w:val="22"/>
      <w:szCs w:val="22"/>
      <w:lang w:eastAsia="en-US"/>
    </w:rPr>
  </w:style>
  <w:style w:type="paragraph" w:styleId="Heading1">
    <w:name w:val="heading 1"/>
    <w:basedOn w:val="Normal"/>
    <w:next w:val="Normal"/>
    <w:link w:val="Heading1Char"/>
    <w:uiPriority w:val="9"/>
    <w:qFormat/>
    <w:rsid w:val="005635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35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0C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5FCE"/>
    <w:pPr>
      <w:widowControl w:val="0"/>
      <w:autoSpaceDE w:val="0"/>
      <w:autoSpaceDN w:val="0"/>
      <w:spacing w:line="240" w:lineRule="auto"/>
    </w:pPr>
    <w:rPr>
      <w:rFonts w:ascii="Verdana" w:eastAsia="Verdana" w:hAnsi="Verdana" w:cs="Verdana"/>
      <w:lang w:val="en-US"/>
    </w:rPr>
  </w:style>
  <w:style w:type="paragraph" w:styleId="BalloonText">
    <w:name w:val="Balloon Text"/>
    <w:basedOn w:val="Normal"/>
    <w:link w:val="BalloonTextChar"/>
    <w:uiPriority w:val="99"/>
    <w:semiHidden/>
    <w:unhideWhenUsed/>
    <w:rsid w:val="00E144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54"/>
    <w:rPr>
      <w:rFonts w:ascii="Tahoma" w:hAnsi="Tahoma" w:cs="Tahoma"/>
      <w:sz w:val="16"/>
      <w:szCs w:val="16"/>
      <w:lang w:eastAsia="en-US"/>
    </w:rPr>
  </w:style>
  <w:style w:type="paragraph" w:styleId="Header">
    <w:name w:val="header"/>
    <w:basedOn w:val="Normal"/>
    <w:link w:val="HeaderChar"/>
    <w:uiPriority w:val="99"/>
    <w:unhideWhenUsed/>
    <w:rsid w:val="00E14454"/>
    <w:pPr>
      <w:tabs>
        <w:tab w:val="center" w:pos="4513"/>
        <w:tab w:val="right" w:pos="9026"/>
      </w:tabs>
      <w:spacing w:line="240" w:lineRule="auto"/>
    </w:pPr>
  </w:style>
  <w:style w:type="character" w:customStyle="1" w:styleId="HeaderChar">
    <w:name w:val="Header Char"/>
    <w:basedOn w:val="DefaultParagraphFont"/>
    <w:link w:val="Header"/>
    <w:uiPriority w:val="99"/>
    <w:rsid w:val="00E14454"/>
    <w:rPr>
      <w:rFonts w:ascii="Arial" w:hAnsi="Arial"/>
      <w:sz w:val="22"/>
      <w:szCs w:val="22"/>
      <w:lang w:eastAsia="en-US"/>
    </w:rPr>
  </w:style>
  <w:style w:type="paragraph" w:styleId="Footer">
    <w:name w:val="footer"/>
    <w:basedOn w:val="Normal"/>
    <w:link w:val="FooterChar"/>
    <w:uiPriority w:val="99"/>
    <w:unhideWhenUsed/>
    <w:rsid w:val="00E14454"/>
    <w:pPr>
      <w:tabs>
        <w:tab w:val="center" w:pos="4513"/>
        <w:tab w:val="right" w:pos="9026"/>
      </w:tabs>
      <w:spacing w:line="240" w:lineRule="auto"/>
    </w:pPr>
  </w:style>
  <w:style w:type="character" w:customStyle="1" w:styleId="FooterChar">
    <w:name w:val="Footer Char"/>
    <w:basedOn w:val="DefaultParagraphFont"/>
    <w:link w:val="Footer"/>
    <w:uiPriority w:val="99"/>
    <w:rsid w:val="00E14454"/>
    <w:rPr>
      <w:rFonts w:ascii="Arial" w:hAnsi="Arial"/>
      <w:sz w:val="22"/>
      <w:szCs w:val="22"/>
      <w:lang w:eastAsia="en-US"/>
    </w:rPr>
  </w:style>
  <w:style w:type="character" w:styleId="CommentReference">
    <w:name w:val="annotation reference"/>
    <w:basedOn w:val="DefaultParagraphFont"/>
    <w:uiPriority w:val="99"/>
    <w:semiHidden/>
    <w:unhideWhenUsed/>
    <w:rsid w:val="008737B6"/>
    <w:rPr>
      <w:sz w:val="16"/>
      <w:szCs w:val="16"/>
    </w:rPr>
  </w:style>
  <w:style w:type="paragraph" w:styleId="CommentText">
    <w:name w:val="annotation text"/>
    <w:basedOn w:val="Normal"/>
    <w:link w:val="CommentTextChar"/>
    <w:uiPriority w:val="99"/>
    <w:semiHidden/>
    <w:unhideWhenUsed/>
    <w:rsid w:val="008737B6"/>
    <w:pPr>
      <w:spacing w:line="240" w:lineRule="auto"/>
    </w:pPr>
    <w:rPr>
      <w:sz w:val="20"/>
      <w:szCs w:val="20"/>
    </w:rPr>
  </w:style>
  <w:style w:type="character" w:customStyle="1" w:styleId="CommentTextChar">
    <w:name w:val="Comment Text Char"/>
    <w:basedOn w:val="DefaultParagraphFont"/>
    <w:link w:val="CommentText"/>
    <w:uiPriority w:val="99"/>
    <w:semiHidden/>
    <w:rsid w:val="008737B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737B6"/>
    <w:rPr>
      <w:b/>
      <w:bCs/>
    </w:rPr>
  </w:style>
  <w:style w:type="character" w:customStyle="1" w:styleId="CommentSubjectChar">
    <w:name w:val="Comment Subject Char"/>
    <w:basedOn w:val="CommentTextChar"/>
    <w:link w:val="CommentSubject"/>
    <w:uiPriority w:val="99"/>
    <w:semiHidden/>
    <w:rsid w:val="008737B6"/>
    <w:rPr>
      <w:rFonts w:ascii="Arial" w:hAnsi="Arial"/>
      <w:b/>
      <w:bCs/>
      <w:lang w:eastAsia="en-US"/>
    </w:rPr>
  </w:style>
  <w:style w:type="paragraph" w:styleId="ListParagraph">
    <w:name w:val="List Paragraph"/>
    <w:basedOn w:val="Normal"/>
    <w:uiPriority w:val="34"/>
    <w:qFormat/>
    <w:rsid w:val="00CB508E"/>
    <w:pPr>
      <w:ind w:left="720"/>
      <w:contextualSpacing/>
    </w:pPr>
  </w:style>
  <w:style w:type="paragraph" w:styleId="Title">
    <w:name w:val="Title"/>
    <w:basedOn w:val="Normal"/>
    <w:next w:val="Normal"/>
    <w:link w:val="TitleChar"/>
    <w:uiPriority w:val="10"/>
    <w:qFormat/>
    <w:rsid w:val="0056359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591"/>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56359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6359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60C5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069379">
      <w:bodyDiv w:val="1"/>
      <w:marLeft w:val="0"/>
      <w:marRight w:val="0"/>
      <w:marTop w:val="0"/>
      <w:marBottom w:val="0"/>
      <w:divBdr>
        <w:top w:val="none" w:sz="0" w:space="0" w:color="auto"/>
        <w:left w:val="none" w:sz="0" w:space="0" w:color="auto"/>
        <w:bottom w:val="none" w:sz="0" w:space="0" w:color="auto"/>
        <w:right w:val="none" w:sz="0" w:space="0" w:color="auto"/>
      </w:divBdr>
      <w:divsChild>
        <w:div w:id="1603757406">
          <w:marLeft w:val="0"/>
          <w:marRight w:val="0"/>
          <w:marTop w:val="300"/>
          <w:marBottom w:val="0"/>
          <w:divBdr>
            <w:top w:val="none" w:sz="0" w:space="0" w:color="auto"/>
            <w:left w:val="none" w:sz="0" w:space="0" w:color="auto"/>
            <w:bottom w:val="none" w:sz="0" w:space="0" w:color="auto"/>
            <w:right w:val="none" w:sz="0" w:space="0" w:color="auto"/>
          </w:divBdr>
          <w:divsChild>
            <w:div w:id="1883129650">
              <w:marLeft w:val="0"/>
              <w:marRight w:val="0"/>
              <w:marTop w:val="0"/>
              <w:marBottom w:val="0"/>
              <w:divBdr>
                <w:top w:val="none" w:sz="0" w:space="0" w:color="auto"/>
                <w:left w:val="none" w:sz="0" w:space="0" w:color="auto"/>
                <w:bottom w:val="none" w:sz="0" w:space="0" w:color="auto"/>
                <w:right w:val="none" w:sz="0" w:space="0" w:color="auto"/>
              </w:divBdr>
              <w:divsChild>
                <w:div w:id="159465186">
                  <w:marLeft w:val="0"/>
                  <w:marRight w:val="-3600"/>
                  <w:marTop w:val="0"/>
                  <w:marBottom w:val="0"/>
                  <w:divBdr>
                    <w:top w:val="none" w:sz="0" w:space="0" w:color="auto"/>
                    <w:left w:val="none" w:sz="0" w:space="0" w:color="auto"/>
                    <w:bottom w:val="none" w:sz="0" w:space="0" w:color="auto"/>
                    <w:right w:val="none" w:sz="0" w:space="0" w:color="auto"/>
                  </w:divBdr>
                  <w:divsChild>
                    <w:div w:id="4015069">
                      <w:marLeft w:val="300"/>
                      <w:marRight w:val="4200"/>
                      <w:marTop w:val="0"/>
                      <w:marBottom w:val="540"/>
                      <w:divBdr>
                        <w:top w:val="none" w:sz="0" w:space="0" w:color="auto"/>
                        <w:left w:val="none" w:sz="0" w:space="0" w:color="auto"/>
                        <w:bottom w:val="none" w:sz="0" w:space="0" w:color="auto"/>
                        <w:right w:val="none" w:sz="0" w:space="0" w:color="auto"/>
                      </w:divBdr>
                      <w:divsChild>
                        <w:div w:id="468481599">
                          <w:marLeft w:val="0"/>
                          <w:marRight w:val="0"/>
                          <w:marTop w:val="0"/>
                          <w:marBottom w:val="0"/>
                          <w:divBdr>
                            <w:top w:val="none" w:sz="0" w:space="0" w:color="auto"/>
                            <w:left w:val="none" w:sz="0" w:space="0" w:color="auto"/>
                            <w:bottom w:val="none" w:sz="0" w:space="0" w:color="auto"/>
                            <w:right w:val="none" w:sz="0" w:space="0" w:color="auto"/>
                          </w:divBdr>
                          <w:divsChild>
                            <w:div w:id="113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82D0-8D2A-4FE5-9640-AE6B2AF95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34C0E-9E48-45EA-8EF3-30B4E49287FE}">
  <ds:schemaRefs>
    <ds:schemaRef ds:uri="http://schemas.microsoft.com/sharepoint/v3/contenttype/forms"/>
  </ds:schemaRefs>
</ds:datastoreItem>
</file>

<file path=customXml/itemProps3.xml><?xml version="1.0" encoding="utf-8"?>
<ds:datastoreItem xmlns:ds="http://schemas.openxmlformats.org/officeDocument/2006/customXml" ds:itemID="{BBD6CE18-78C5-4212-A94E-A11F3C9ABD4D}"/>
</file>

<file path=customXml/itemProps4.xml><?xml version="1.0" encoding="utf-8"?>
<ds:datastoreItem xmlns:ds="http://schemas.openxmlformats.org/officeDocument/2006/customXml" ds:itemID="{3F55AE3E-3FCA-4ACA-A4E4-2B0D52DD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Nuttycombe</dc:creator>
  <cp:lastModifiedBy>Talkington Alison</cp:lastModifiedBy>
  <cp:revision>30</cp:revision>
  <cp:lastPrinted>2018-02-27T18:00:00Z</cp:lastPrinted>
  <dcterms:created xsi:type="dcterms:W3CDTF">2021-01-25T10:14:00Z</dcterms:created>
  <dcterms:modified xsi:type="dcterms:W3CDTF">2021-02-02T14:16:00Z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