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BB" w:rsidRDefault="008B1DBB" w:rsidP="008B1DBB">
      <w:pPr>
        <w:pStyle w:val="Heading1"/>
        <w:rPr>
          <w:sz w:val="52"/>
          <w:szCs w:val="52"/>
        </w:rPr>
      </w:pPr>
      <w:bookmarkStart w:id="0" w:name="_GoBack"/>
      <w:bookmarkEnd w:id="0"/>
      <w:r>
        <w:rPr>
          <w:sz w:val="52"/>
          <w:szCs w:val="52"/>
        </w:rPr>
        <w:t>Covering Note</w:t>
      </w:r>
    </w:p>
    <w:p w:rsidR="008B1DBB" w:rsidRDefault="008B1DBB" w:rsidP="007801C7">
      <w:pPr>
        <w:jc w:val="both"/>
      </w:pPr>
      <w:r>
        <w:t>This is the draft Annual Governance Statement (AGS) for 2017/18.</w:t>
      </w:r>
    </w:p>
    <w:p w:rsidR="008B1DBB" w:rsidRDefault="008B1DBB" w:rsidP="007801C7">
      <w:pPr>
        <w:jc w:val="both"/>
      </w:pPr>
      <w:r>
        <w:t>The AGS has been prepared as per the Accounts and Audit Regulations 2015, and Proper Professional Practice. This includes guidance from CIPFA and SOLACE.</w:t>
      </w:r>
    </w:p>
    <w:p w:rsidR="008B1DBB" w:rsidRDefault="008B1DBB" w:rsidP="007801C7">
      <w:pPr>
        <w:jc w:val="both"/>
      </w:pPr>
      <w:r>
        <w:t>The current status of this document is draft. It is unaudited and may be subject to change.</w:t>
      </w:r>
    </w:p>
    <w:p w:rsidR="008B1DBB" w:rsidRDefault="008B1DBB" w:rsidP="007801C7">
      <w:pPr>
        <w:jc w:val="both"/>
      </w:pPr>
      <w:r>
        <w:t xml:space="preserve">The draft AGS has been published as required by relevant legislation. </w:t>
      </w:r>
      <w:hyperlink r:id="rId9" w:history="1">
        <w:r w:rsidRPr="00850D0D">
          <w:rPr>
            <w:rStyle w:val="Hyperlink"/>
          </w:rPr>
          <w:t>http://www.legislation.gov.uk/uksi/2015/234/regulation/15/made</w:t>
        </w:r>
      </w:hyperlink>
      <w:r>
        <w:t xml:space="preserve">. It has been prepared </w:t>
      </w:r>
      <w:r w:rsidRPr="00790E3C">
        <w:t>in accordance with regulation 6(1)(b)</w:t>
      </w:r>
      <w:r>
        <w:t>. As a draft document the statement has not yet been</w:t>
      </w:r>
      <w:r w:rsidRPr="00790E3C">
        <w:t xml:space="preserve"> approved in accordance with regulation 6(2)(b)</w:t>
      </w:r>
      <w:r>
        <w:t>,</w:t>
      </w:r>
      <w:r w:rsidRPr="00790E3C">
        <w:t xml:space="preserve"> </w:t>
      </w:r>
      <w:r>
        <w:t xml:space="preserve">and the final version will be approved by the Audit and Corporate Governance Committee in advance of the Statement of Accounts.  </w:t>
      </w:r>
    </w:p>
    <w:p w:rsidR="008B1DBB" w:rsidRDefault="008B1DBB" w:rsidP="0019344B">
      <w:pPr>
        <w:pStyle w:val="Heading1"/>
        <w:rPr>
          <w:sz w:val="52"/>
          <w:szCs w:val="52"/>
        </w:rPr>
        <w:sectPr w:rsidR="008B1D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333352" w:rsidRPr="0082506D" w:rsidRDefault="0019344B" w:rsidP="0019344B">
      <w:pPr>
        <w:pStyle w:val="Heading1"/>
        <w:rPr>
          <w:sz w:val="52"/>
          <w:szCs w:val="52"/>
        </w:rPr>
      </w:pPr>
      <w:r w:rsidRPr="0082506D">
        <w:rPr>
          <w:sz w:val="52"/>
          <w:szCs w:val="52"/>
        </w:rPr>
        <w:lastRenderedPageBreak/>
        <w:t>A</w:t>
      </w:r>
      <w:r w:rsidR="00C6575B" w:rsidRPr="0082506D">
        <w:rPr>
          <w:sz w:val="52"/>
          <w:szCs w:val="52"/>
        </w:rPr>
        <w:t xml:space="preserve">nnual </w:t>
      </w:r>
      <w:r w:rsidRPr="0082506D">
        <w:rPr>
          <w:sz w:val="52"/>
          <w:szCs w:val="52"/>
        </w:rPr>
        <w:t>G</w:t>
      </w:r>
      <w:r w:rsidR="00C6575B" w:rsidRPr="0082506D">
        <w:rPr>
          <w:sz w:val="52"/>
          <w:szCs w:val="52"/>
        </w:rPr>
        <w:t xml:space="preserve">overnance </w:t>
      </w:r>
      <w:r w:rsidRPr="0082506D">
        <w:rPr>
          <w:sz w:val="52"/>
          <w:szCs w:val="52"/>
        </w:rPr>
        <w:t>S</w:t>
      </w:r>
      <w:r w:rsidR="00C6575B" w:rsidRPr="0082506D">
        <w:rPr>
          <w:sz w:val="52"/>
          <w:szCs w:val="52"/>
        </w:rPr>
        <w:t>tatement</w:t>
      </w:r>
    </w:p>
    <w:p w:rsidR="0019344B" w:rsidRPr="003E2783" w:rsidRDefault="0019344B" w:rsidP="003E2783">
      <w:pPr>
        <w:pStyle w:val="Heading2"/>
      </w:pPr>
      <w:r>
        <w:t>Introduction and purpose</w:t>
      </w:r>
    </w:p>
    <w:p w:rsidR="00676A6C" w:rsidRDefault="00676A6C" w:rsidP="00676A6C">
      <w:pPr>
        <w:pStyle w:val="AGSBodyText"/>
      </w:pPr>
      <w:r>
        <w:t xml:space="preserve">The Council is responsible for ensuring that its business is conducted in accordance with the law and proper standards, that public money is safeguarded and properly accounted for, and </w:t>
      </w:r>
      <w:r w:rsidR="00C371BC">
        <w:t xml:space="preserve">that is </w:t>
      </w:r>
      <w:r>
        <w:t xml:space="preserve">also provides value for money. </w:t>
      </w:r>
      <w:r w:rsidR="00C371BC">
        <w:t xml:space="preserve">It has to effectively manage its risks, and put </w:t>
      </w:r>
      <w:r>
        <w:t>in place proper arrangements for</w:t>
      </w:r>
      <w:r w:rsidR="00C371BC">
        <w:t xml:space="preserve"> the governance of its affairs</w:t>
      </w:r>
      <w:r>
        <w:t xml:space="preserve">. </w:t>
      </w:r>
    </w:p>
    <w:p w:rsidR="0019344B" w:rsidRDefault="0019344B" w:rsidP="00676A6C">
      <w:pPr>
        <w:pStyle w:val="Heading3"/>
      </w:pPr>
      <w:r>
        <w:t>Definition of Corporate Governance</w:t>
      </w:r>
    </w:p>
    <w:p w:rsidR="00676A6C" w:rsidRPr="008338AC" w:rsidRDefault="00676A6C" w:rsidP="00676A6C">
      <w:pPr>
        <w:pStyle w:val="AGSBodyText"/>
      </w:pPr>
      <w:r>
        <w:t>Corporate governance generally refers to the processes by which an organisation is directed, controlled, led and held to account.</w:t>
      </w:r>
    </w:p>
    <w:p w:rsidR="008338AC" w:rsidRDefault="00C371BC" w:rsidP="001F3D9A">
      <w:pPr>
        <w:pStyle w:val="AGSBodyText"/>
      </w:pPr>
      <w:r>
        <w:t>Good g</w:t>
      </w:r>
      <w:r w:rsidR="008338AC">
        <w:t>ov</w:t>
      </w:r>
      <w:r w:rsidR="000E5C60">
        <w:t xml:space="preserve">ernance in the public sector </w:t>
      </w:r>
      <w:r w:rsidR="008338AC">
        <w:t>means:</w:t>
      </w:r>
      <w:r w:rsidR="00676A6C">
        <w:t xml:space="preserve"> </w:t>
      </w:r>
      <w:r w:rsidR="008338AC">
        <w:t>"</w:t>
      </w:r>
      <w:r w:rsidR="00676A6C" w:rsidRPr="00676A6C">
        <w:rPr>
          <w:i/>
        </w:rPr>
        <w:t>achieving the intended outcomes while acting in the public interest at all times</w:t>
      </w:r>
      <w:r w:rsidR="008338AC">
        <w:t xml:space="preserve">" </w:t>
      </w:r>
    </w:p>
    <w:p w:rsidR="00740557" w:rsidRDefault="003E2783" w:rsidP="00740557">
      <w:pPr>
        <w:pStyle w:val="Heading3"/>
      </w:pPr>
      <w:r>
        <w:t xml:space="preserve">The </w:t>
      </w:r>
      <w:r w:rsidR="00740557">
        <w:t>Governance Framework</w:t>
      </w:r>
    </w:p>
    <w:p w:rsidR="00740557" w:rsidRDefault="00740557" w:rsidP="00740557">
      <w:pPr>
        <w:pStyle w:val="AGSBodyText"/>
      </w:pPr>
      <w:r>
        <w:t>Our go</w:t>
      </w:r>
      <w:r w:rsidR="00676A6C">
        <w:t xml:space="preserve">vernance framework comprises </w:t>
      </w:r>
      <w:r>
        <w:t>the culture, value</w:t>
      </w:r>
      <w:r w:rsidR="00676A6C">
        <w:t>s, systems and processes by which</w:t>
      </w:r>
      <w:r>
        <w:t xml:space="preserve"> the Council is directed and controlled. It brings together an underlying set of legislative and regulatory requirements, good practice principles and management processes.</w:t>
      </w:r>
    </w:p>
    <w:p w:rsidR="00E822DC" w:rsidRPr="008338AC" w:rsidRDefault="00E822DC" w:rsidP="00740557">
      <w:pPr>
        <w:pStyle w:val="AGSBodyText"/>
      </w:pPr>
      <w:r>
        <w:t>The Council has a robust process for reviewing and updating the governance framework.</w:t>
      </w:r>
    </w:p>
    <w:p w:rsidR="00740557" w:rsidRDefault="00E822DC" w:rsidP="00740557">
      <w:pPr>
        <w:pStyle w:val="AGSBodyText"/>
      </w:pPr>
      <w:r>
        <w:rPr>
          <w:noProof/>
          <w:lang w:eastAsia="en-GB"/>
        </w:rPr>
        <w:drawing>
          <wp:inline distT="0" distB="0" distL="0" distR="0" wp14:anchorId="154EECDE" wp14:editId="0FE1C057">
            <wp:extent cx="5730875" cy="222250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222500"/>
                    </a:xfrm>
                    <a:prstGeom prst="rect">
                      <a:avLst/>
                    </a:prstGeom>
                    <a:noFill/>
                    <a:ln>
                      <a:noFill/>
                    </a:ln>
                  </pic:spPr>
                </pic:pic>
              </a:graphicData>
            </a:graphic>
          </wp:inline>
        </w:drawing>
      </w:r>
    </w:p>
    <w:p w:rsidR="00740557" w:rsidRDefault="00740557" w:rsidP="00740557">
      <w:pPr>
        <w:pStyle w:val="AGSBodyText"/>
      </w:pPr>
    </w:p>
    <w:p w:rsidR="00723313" w:rsidRDefault="00835AAF" w:rsidP="00723313">
      <w:pPr>
        <w:pStyle w:val="AGSBodyText"/>
      </w:pPr>
      <w:r>
        <w:t>The governance framework for the last 12 months supports the C</w:t>
      </w:r>
      <w:r w:rsidR="00723313">
        <w:t>ouncil aims and objectives</w:t>
      </w:r>
      <w:r>
        <w:t>,</w:t>
      </w:r>
      <w:r w:rsidR="00723313">
        <w:t xml:space="preserve"> which are published on </w:t>
      </w:r>
      <w:hyperlink r:id="rId17" w:history="1">
        <w:r w:rsidR="00723313" w:rsidRPr="00723313">
          <w:rPr>
            <w:rStyle w:val="Hyperlink"/>
          </w:rPr>
          <w:t>our website</w:t>
        </w:r>
      </w:hyperlink>
      <w:r w:rsidR="00723313">
        <w:rPr>
          <w:rStyle w:val="FootnoteReference"/>
        </w:rPr>
        <w:footnoteReference w:id="1"/>
      </w:r>
      <w:r w:rsidR="00723313">
        <w:t>. Our Vision is</w:t>
      </w:r>
      <w:r w:rsidR="0019345B">
        <w:t>:</w:t>
      </w:r>
    </w:p>
    <w:p w:rsidR="00723313" w:rsidRDefault="00723313" w:rsidP="00723313">
      <w:pPr>
        <w:pStyle w:val="AGSBodyText"/>
        <w:numPr>
          <w:ilvl w:val="0"/>
          <w:numId w:val="5"/>
        </w:numPr>
      </w:pPr>
      <w:r>
        <w:t>The best place to live, work and study;</w:t>
      </w:r>
    </w:p>
    <w:p w:rsidR="00723313" w:rsidRDefault="00723313" w:rsidP="00723313">
      <w:pPr>
        <w:pStyle w:val="AGSBodyText"/>
        <w:numPr>
          <w:ilvl w:val="0"/>
          <w:numId w:val="5"/>
        </w:numPr>
      </w:pPr>
      <w:r>
        <w:t>Impressive and sustainable economic growth; and</w:t>
      </w:r>
    </w:p>
    <w:p w:rsidR="00723313" w:rsidRDefault="00723313" w:rsidP="00723313">
      <w:pPr>
        <w:pStyle w:val="AGSBodyText"/>
        <w:numPr>
          <w:ilvl w:val="0"/>
          <w:numId w:val="5"/>
        </w:numPr>
      </w:pPr>
      <w:r>
        <w:t>Quality of life in a beautiful and green environment.</w:t>
      </w:r>
    </w:p>
    <w:p w:rsidR="00723313" w:rsidRDefault="00723313" w:rsidP="00723313">
      <w:pPr>
        <w:pStyle w:val="AGSBodyText"/>
      </w:pPr>
      <w:r>
        <w:t xml:space="preserve">The Vision is supported by our </w:t>
      </w:r>
      <w:hyperlink r:id="rId18" w:history="1">
        <w:r w:rsidRPr="00723313">
          <w:rPr>
            <w:rStyle w:val="Hyperlink"/>
          </w:rPr>
          <w:t>Delivery Plan</w:t>
        </w:r>
      </w:hyperlink>
      <w:r>
        <w:rPr>
          <w:rStyle w:val="FootnoteReference"/>
        </w:rPr>
        <w:footnoteReference w:id="2"/>
      </w:r>
      <w:r>
        <w:t xml:space="preserve"> </w:t>
      </w:r>
      <w:r w:rsidRPr="00723313">
        <w:t>which sets out specific and measurable actions for the year to come.</w:t>
      </w:r>
    </w:p>
    <w:p w:rsidR="008338AC" w:rsidRDefault="0019345B" w:rsidP="00723313">
      <w:pPr>
        <w:pStyle w:val="AGSBodyText"/>
      </w:pPr>
      <w:r>
        <w:lastRenderedPageBreak/>
        <w:t>P</w:t>
      </w:r>
      <w:r w:rsidR="00723313" w:rsidRPr="00723313">
        <w:t xml:space="preserve">erformance against the current </w:t>
      </w:r>
      <w:hyperlink r:id="rId19" w:history="1">
        <w:r w:rsidR="00723313" w:rsidRPr="00723313">
          <w:rPr>
            <w:rStyle w:val="Hyperlink"/>
          </w:rPr>
          <w:t>Corporate Plan</w:t>
        </w:r>
      </w:hyperlink>
      <w:r w:rsidR="00723313" w:rsidRPr="00723313">
        <w:t xml:space="preserve">, </w:t>
      </w:r>
      <w:r>
        <w:t xml:space="preserve">is published in the </w:t>
      </w:r>
      <w:hyperlink r:id="rId20" w:history="1">
        <w:r w:rsidR="00723313" w:rsidRPr="00723313">
          <w:rPr>
            <w:rStyle w:val="Hyperlink"/>
          </w:rPr>
          <w:t>Performance Page</w:t>
        </w:r>
      </w:hyperlink>
      <w:r>
        <w:t xml:space="preserve"> of</w:t>
      </w:r>
      <w:r w:rsidR="00723313">
        <w:t xml:space="preserve"> </w:t>
      </w:r>
      <w:r>
        <w:t>our</w:t>
      </w:r>
      <w:r w:rsidR="00723313">
        <w:t xml:space="preserve"> website</w:t>
      </w:r>
      <w:r w:rsidR="00723313" w:rsidRPr="00723313">
        <w:t>.</w:t>
      </w:r>
    </w:p>
    <w:p w:rsidR="00C74759" w:rsidRDefault="00C74759" w:rsidP="00C371BC">
      <w:pPr>
        <w:pStyle w:val="AGSBodyText"/>
      </w:pPr>
      <w:r w:rsidRPr="001F3D9A">
        <w:t>The governance framework has been in place at the Council for the year ended 31 March 2018 and up to the date of approval of the statement of accounts.</w:t>
      </w:r>
    </w:p>
    <w:p w:rsidR="00C74759" w:rsidRDefault="00C74759" w:rsidP="00C74759">
      <w:pPr>
        <w:pStyle w:val="Heading3"/>
      </w:pPr>
      <w:r>
        <w:t>Local Code of Governance</w:t>
      </w:r>
    </w:p>
    <w:p w:rsidR="00F15DAE" w:rsidRDefault="00C74759" w:rsidP="00C74759">
      <w:pPr>
        <w:pStyle w:val="AGSBodyText"/>
      </w:pPr>
      <w:r>
        <w:t xml:space="preserve">We are responsible for ensuring that there is a sound system of governance which incorporates the system of internal control. </w:t>
      </w:r>
    </w:p>
    <w:p w:rsidR="00C74759" w:rsidRDefault="0019345B" w:rsidP="00C74759">
      <w:pPr>
        <w:pStyle w:val="AGSBodyText"/>
      </w:pPr>
      <w:r>
        <w:t>This Governance Framework is recorded in o</w:t>
      </w:r>
      <w:r w:rsidR="00C74759">
        <w:t xml:space="preserve">ur </w:t>
      </w:r>
      <w:hyperlink r:id="rId21" w:history="1">
        <w:r w:rsidR="00C74759" w:rsidRPr="0076186F">
          <w:rPr>
            <w:rStyle w:val="Hyperlink"/>
          </w:rPr>
          <w:t>Local Code of Governance</w:t>
        </w:r>
      </w:hyperlink>
      <w:r>
        <w:t xml:space="preserve">, which </w:t>
      </w:r>
      <w:r w:rsidR="00C74759">
        <w:t>is underpinned by the 7 principles of good governance as set out in the CIPFA / SOLACE publication ‘Delivering Good Governance in Local Government Framework 2016’. The principles are:</w:t>
      </w:r>
    </w:p>
    <w:p w:rsidR="00C74759" w:rsidRDefault="00C74759" w:rsidP="00C74759">
      <w:pPr>
        <w:pStyle w:val="AGSBodyText"/>
        <w:numPr>
          <w:ilvl w:val="0"/>
          <w:numId w:val="2"/>
        </w:numPr>
      </w:pPr>
      <w:r>
        <w:t>behaving with integrity and in accordance with our core values</w:t>
      </w:r>
    </w:p>
    <w:p w:rsidR="00C74759" w:rsidRDefault="00C74759" w:rsidP="00C74759">
      <w:pPr>
        <w:pStyle w:val="AGSBodyText"/>
        <w:numPr>
          <w:ilvl w:val="0"/>
          <w:numId w:val="2"/>
        </w:numPr>
      </w:pPr>
      <w:r>
        <w:t>being open and ensuring effective engagement takes place</w:t>
      </w:r>
    </w:p>
    <w:p w:rsidR="00C74759" w:rsidRDefault="00C74759" w:rsidP="00C74759">
      <w:pPr>
        <w:pStyle w:val="AGSBodyText"/>
        <w:numPr>
          <w:ilvl w:val="0"/>
          <w:numId w:val="2"/>
        </w:numPr>
      </w:pPr>
      <w:r>
        <w:t>working together to achieve our intended outcomes</w:t>
      </w:r>
    </w:p>
    <w:p w:rsidR="00C74759" w:rsidRDefault="00C74759" w:rsidP="00C74759">
      <w:pPr>
        <w:pStyle w:val="AGSBodyText"/>
        <w:numPr>
          <w:ilvl w:val="0"/>
          <w:numId w:val="2"/>
        </w:numPr>
      </w:pPr>
      <w:r>
        <w:t>setting goals for economic, social and environmental benefits and reaching them</w:t>
      </w:r>
    </w:p>
    <w:p w:rsidR="00C74759" w:rsidRDefault="00C74759" w:rsidP="00C74759">
      <w:pPr>
        <w:pStyle w:val="AGSBodyText"/>
        <w:numPr>
          <w:ilvl w:val="0"/>
          <w:numId w:val="2"/>
        </w:numPr>
      </w:pPr>
      <w:r>
        <w:t>growing our capacity - including our leadership and the people who work with us</w:t>
      </w:r>
    </w:p>
    <w:p w:rsidR="00C74759" w:rsidRDefault="00C74759" w:rsidP="00C74759">
      <w:pPr>
        <w:pStyle w:val="AGSBodyText"/>
        <w:numPr>
          <w:ilvl w:val="0"/>
          <w:numId w:val="2"/>
        </w:numPr>
      </w:pPr>
      <w:r>
        <w:t>managing risks and performance through robust internal control and strong financial management</w:t>
      </w:r>
    </w:p>
    <w:p w:rsidR="00C74759" w:rsidRPr="0081088D" w:rsidRDefault="00C74759" w:rsidP="00C74759">
      <w:pPr>
        <w:pStyle w:val="AGSBodyText"/>
        <w:numPr>
          <w:ilvl w:val="0"/>
          <w:numId w:val="2"/>
        </w:numPr>
      </w:pPr>
      <w:r>
        <w:t>Implementing good practice in transparency, reporting and audit – delivering effective accountability</w:t>
      </w:r>
      <w:r>
        <w:br w:type="textWrapping" w:clear="all"/>
      </w:r>
    </w:p>
    <w:p w:rsidR="0019344B" w:rsidRDefault="0019344B" w:rsidP="0019344B">
      <w:pPr>
        <w:pStyle w:val="Heading3"/>
      </w:pPr>
      <w:r>
        <w:t>Role and responsibilities</w:t>
      </w:r>
    </w:p>
    <w:p w:rsidR="003E2783" w:rsidRDefault="00C74759" w:rsidP="003E2783">
      <w:pPr>
        <w:pStyle w:val="AGSBodyText"/>
      </w:pPr>
      <w:r>
        <w:t xml:space="preserve">All of the </w:t>
      </w:r>
      <w:r w:rsidR="003E2783">
        <w:t xml:space="preserve">Council is responsible for </w:t>
      </w:r>
      <w:r w:rsidR="00F15DAE">
        <w:t>developing and c</w:t>
      </w:r>
      <w:r>
        <w:t>omplying with its Local C</w:t>
      </w:r>
      <w:r w:rsidR="003E2783">
        <w:t xml:space="preserve">ode of </w:t>
      </w:r>
      <w:r>
        <w:t>G</w:t>
      </w:r>
      <w:r w:rsidR="003E2783">
        <w:t>overnance</w:t>
      </w:r>
      <w:r w:rsidR="009D4636">
        <w:t xml:space="preserve">. </w:t>
      </w:r>
      <w:r w:rsidR="00F15DAE">
        <w:t>There are a variety of governance structures and some of the key roles include:</w:t>
      </w:r>
    </w:p>
    <w:tbl>
      <w:tblPr>
        <w:tblStyle w:val="TableGrid"/>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2376"/>
        <w:gridCol w:w="6866"/>
      </w:tblGrid>
      <w:tr w:rsidR="009D4636" w:rsidTr="000F4158">
        <w:tc>
          <w:tcPr>
            <w:tcW w:w="2376" w:type="dxa"/>
            <w:shd w:val="clear" w:color="auto" w:fill="17365D" w:themeFill="text2" w:themeFillShade="BF"/>
          </w:tcPr>
          <w:p w:rsidR="009D4636" w:rsidRDefault="009D4636" w:rsidP="009D4636">
            <w:pPr>
              <w:pStyle w:val="AGSBodyText"/>
            </w:pPr>
            <w:r>
              <w:t>Governance structures</w:t>
            </w:r>
          </w:p>
        </w:tc>
        <w:tc>
          <w:tcPr>
            <w:tcW w:w="6866" w:type="dxa"/>
            <w:shd w:val="clear" w:color="auto" w:fill="17365D" w:themeFill="text2" w:themeFillShade="BF"/>
          </w:tcPr>
          <w:p w:rsidR="009D4636" w:rsidRDefault="009D4636" w:rsidP="009D4636">
            <w:pPr>
              <w:pStyle w:val="AGSBodyText"/>
            </w:pPr>
            <w:r>
              <w:t>Role</w:t>
            </w:r>
            <w:r w:rsidR="000F4158">
              <w:t>s and responsibilities</w:t>
            </w:r>
          </w:p>
        </w:tc>
      </w:tr>
      <w:tr w:rsidR="009D4636" w:rsidTr="000F4158">
        <w:tc>
          <w:tcPr>
            <w:tcW w:w="2376" w:type="dxa"/>
            <w:shd w:val="clear" w:color="auto" w:fill="B8CCE4" w:themeFill="accent1" w:themeFillTint="66"/>
          </w:tcPr>
          <w:p w:rsidR="009D4636" w:rsidRDefault="009D4636" w:rsidP="009D4636">
            <w:pPr>
              <w:pStyle w:val="AGSBodyText"/>
              <w:jc w:val="left"/>
            </w:pPr>
            <w:r>
              <w:t>Council</w:t>
            </w:r>
          </w:p>
        </w:tc>
        <w:tc>
          <w:tcPr>
            <w:tcW w:w="6866" w:type="dxa"/>
          </w:tcPr>
          <w:p w:rsidR="009D4636" w:rsidRDefault="009D4636" w:rsidP="009D4636">
            <w:pPr>
              <w:pStyle w:val="AGSBodyText"/>
            </w:pPr>
            <w:r>
              <w:t>Council agrees the budget and policy framework, such as the Corporate Plan, Medium Term Financial Strategy.</w:t>
            </w:r>
            <w:r w:rsidR="000F4158">
              <w:t xml:space="preserve"> Further details are published on our </w:t>
            </w:r>
            <w:hyperlink r:id="rId22" w:history="1">
              <w:r w:rsidR="000F4158" w:rsidRPr="000F4158">
                <w:rPr>
                  <w:rStyle w:val="Hyperlink"/>
                </w:rPr>
                <w:t>website</w:t>
              </w:r>
            </w:hyperlink>
            <w:r w:rsidR="000F4158">
              <w:t>.</w:t>
            </w:r>
          </w:p>
        </w:tc>
      </w:tr>
      <w:tr w:rsidR="009D4636" w:rsidTr="000F4158">
        <w:tc>
          <w:tcPr>
            <w:tcW w:w="2376" w:type="dxa"/>
            <w:shd w:val="clear" w:color="auto" w:fill="B8CCE4" w:themeFill="accent1" w:themeFillTint="66"/>
          </w:tcPr>
          <w:p w:rsidR="009D4636" w:rsidRDefault="009D4636" w:rsidP="009D4636">
            <w:pPr>
              <w:pStyle w:val="AGSBodyText"/>
              <w:jc w:val="left"/>
            </w:pPr>
            <w:r>
              <w:t>Cabinet</w:t>
            </w:r>
          </w:p>
        </w:tc>
        <w:tc>
          <w:tcPr>
            <w:tcW w:w="6866" w:type="dxa"/>
          </w:tcPr>
          <w:p w:rsidR="009D4636" w:rsidRDefault="009D4636" w:rsidP="009D4636">
            <w:pPr>
              <w:pStyle w:val="AGSBodyText"/>
            </w:pPr>
            <w:r>
              <w:t>This is the Council’s principal decision making body charged with implementing the budget and policy framework agreed by Council.</w:t>
            </w:r>
            <w:r w:rsidR="000F4158">
              <w:t xml:space="preserve"> Further details are published on our </w:t>
            </w:r>
            <w:hyperlink r:id="rId23" w:history="1">
              <w:r w:rsidR="000F4158" w:rsidRPr="000F4158">
                <w:rPr>
                  <w:rStyle w:val="Hyperlink"/>
                </w:rPr>
                <w:t>website</w:t>
              </w:r>
            </w:hyperlink>
            <w:r w:rsidR="000F4158">
              <w:t>.</w:t>
            </w:r>
          </w:p>
        </w:tc>
      </w:tr>
      <w:tr w:rsidR="009D4636" w:rsidTr="000F4158">
        <w:tc>
          <w:tcPr>
            <w:tcW w:w="2376" w:type="dxa"/>
            <w:shd w:val="clear" w:color="auto" w:fill="B8CCE4" w:themeFill="accent1" w:themeFillTint="66"/>
          </w:tcPr>
          <w:p w:rsidR="009D4636" w:rsidRDefault="009D4636" w:rsidP="009D4636">
            <w:pPr>
              <w:pStyle w:val="AGSBodyText"/>
              <w:jc w:val="left"/>
            </w:pPr>
            <w:r>
              <w:t>Executive Management Team</w:t>
            </w:r>
          </w:p>
        </w:tc>
        <w:tc>
          <w:tcPr>
            <w:tcW w:w="6866" w:type="dxa"/>
          </w:tcPr>
          <w:p w:rsidR="009D4636" w:rsidRDefault="009D4636" w:rsidP="009D4636">
            <w:pPr>
              <w:pStyle w:val="AGSBodyText"/>
            </w:pPr>
            <w:r>
              <w:t xml:space="preserve">The </w:t>
            </w:r>
            <w:r w:rsidR="000F4158">
              <w:t>management team structure includes a strategic Executive Management Team of a Chief Executive and Directors, and is supported by an operational Corporate Management Team. Both teams consider policy formulation and future planning.</w:t>
            </w:r>
          </w:p>
        </w:tc>
      </w:tr>
      <w:tr w:rsidR="009D4636" w:rsidTr="000F4158">
        <w:tc>
          <w:tcPr>
            <w:tcW w:w="2376" w:type="dxa"/>
            <w:shd w:val="clear" w:color="auto" w:fill="B8CCE4" w:themeFill="accent1" w:themeFillTint="66"/>
          </w:tcPr>
          <w:p w:rsidR="009D4636" w:rsidRDefault="009D4636" w:rsidP="009D4636">
            <w:pPr>
              <w:pStyle w:val="AGSBodyText"/>
              <w:jc w:val="left"/>
            </w:pPr>
            <w:r>
              <w:lastRenderedPageBreak/>
              <w:t>Audit and Corporate Governance Committee</w:t>
            </w:r>
          </w:p>
        </w:tc>
        <w:tc>
          <w:tcPr>
            <w:tcW w:w="6866" w:type="dxa"/>
          </w:tcPr>
          <w:p w:rsidR="000F4158" w:rsidRDefault="009D4636" w:rsidP="009D4636">
            <w:pPr>
              <w:pStyle w:val="AGSBodyText"/>
            </w:pPr>
            <w:r>
              <w:t xml:space="preserve">The Audit and Corporate Governance Committee also plays a vital role overseeing and promoting good governance, ensuring accountability and reviewing the ways things are done. It provides an assurance role to the Council by examining areas such as audit, risk management, internal control, counter fraud and financial accountability. </w:t>
            </w:r>
          </w:p>
          <w:p w:rsidR="009D4636" w:rsidRDefault="009D4636" w:rsidP="009D4636">
            <w:pPr>
              <w:pStyle w:val="AGSBodyText"/>
            </w:pPr>
            <w:r>
              <w:t xml:space="preserve">The Committee exists to challenge the way things are being done, making sure the right processes are in place. It works closely with both Internal Audit and senior management to continually improve the governance, risk and control environment. Meetings details and minutes are </w:t>
            </w:r>
            <w:hyperlink r:id="rId24" w:history="1">
              <w:r w:rsidRPr="00124335">
                <w:rPr>
                  <w:rStyle w:val="Hyperlink"/>
                </w:rPr>
                <w:t>published on the website</w:t>
              </w:r>
            </w:hyperlink>
            <w:r>
              <w:t xml:space="preserve">. </w:t>
            </w:r>
            <w:r>
              <w:tab/>
            </w:r>
            <w:r>
              <w:tab/>
            </w:r>
          </w:p>
        </w:tc>
      </w:tr>
      <w:tr w:rsidR="000F4158" w:rsidTr="000F4158">
        <w:tc>
          <w:tcPr>
            <w:tcW w:w="2376" w:type="dxa"/>
            <w:shd w:val="clear" w:color="auto" w:fill="B8CCE4" w:themeFill="accent1" w:themeFillTint="66"/>
          </w:tcPr>
          <w:p w:rsidR="000F4158" w:rsidRDefault="000F4158" w:rsidP="009D4636">
            <w:pPr>
              <w:pStyle w:val="AGSBodyText"/>
              <w:jc w:val="left"/>
            </w:pPr>
            <w:r>
              <w:t>Civic Affairs Committee</w:t>
            </w:r>
          </w:p>
        </w:tc>
        <w:tc>
          <w:tcPr>
            <w:tcW w:w="6866" w:type="dxa"/>
          </w:tcPr>
          <w:p w:rsidR="000F4158" w:rsidRDefault="000F4158" w:rsidP="000F4158">
            <w:pPr>
              <w:pStyle w:val="AGSBodyText"/>
            </w:pPr>
            <w:r>
              <w:t>This committee reviews the Council’s Constitution, including proposals for substantive changes for consideration by the Council</w:t>
            </w:r>
            <w:r w:rsidR="00A14A17">
              <w:t xml:space="preserve">. It also considers changes to electoral arrangements, setting ethical standards and monitoring the Councils Code of Conduct. Further details are published on our </w:t>
            </w:r>
            <w:hyperlink r:id="rId25" w:history="1">
              <w:r w:rsidR="00A14A17" w:rsidRPr="000F4158">
                <w:rPr>
                  <w:rStyle w:val="Hyperlink"/>
                </w:rPr>
                <w:t>website</w:t>
              </w:r>
            </w:hyperlink>
            <w:r w:rsidR="00A14A17">
              <w:t xml:space="preserve">. </w:t>
            </w:r>
            <w:r>
              <w:t xml:space="preserve"> </w:t>
            </w:r>
          </w:p>
        </w:tc>
      </w:tr>
      <w:tr w:rsidR="000F4158" w:rsidTr="000F4158">
        <w:tc>
          <w:tcPr>
            <w:tcW w:w="2376" w:type="dxa"/>
            <w:shd w:val="clear" w:color="auto" w:fill="B8CCE4" w:themeFill="accent1" w:themeFillTint="66"/>
          </w:tcPr>
          <w:p w:rsidR="000F4158" w:rsidRDefault="00A14A17" w:rsidP="00A14A17">
            <w:pPr>
              <w:pStyle w:val="AGSBodyText"/>
              <w:jc w:val="left"/>
            </w:pPr>
            <w:r>
              <w:t>Scrutiny and Overview committee</w:t>
            </w:r>
          </w:p>
        </w:tc>
        <w:tc>
          <w:tcPr>
            <w:tcW w:w="6866" w:type="dxa"/>
          </w:tcPr>
          <w:p w:rsidR="000F4158" w:rsidRDefault="00F15DAE" w:rsidP="009D4636">
            <w:pPr>
              <w:pStyle w:val="AGSBodyText"/>
            </w:pPr>
            <w:r w:rsidRPr="00F15DAE">
              <w:t>It monitors the performance of the Leader and Cabinet and scrutinises services and policies throughout the district, whether or not South Cambridgeshire District Council provides them, and makes recommendations for improvement.</w:t>
            </w:r>
            <w:r>
              <w:t xml:space="preserve"> Further details are published on our </w:t>
            </w:r>
            <w:hyperlink r:id="rId26" w:history="1">
              <w:r w:rsidRPr="000F4158">
                <w:rPr>
                  <w:rStyle w:val="Hyperlink"/>
                </w:rPr>
                <w:t>website</w:t>
              </w:r>
            </w:hyperlink>
            <w:r>
              <w:t xml:space="preserve">.  </w:t>
            </w:r>
          </w:p>
        </w:tc>
      </w:tr>
    </w:tbl>
    <w:p w:rsidR="00740557" w:rsidRDefault="00C74759" w:rsidP="00C74759">
      <w:pPr>
        <w:pStyle w:val="AGSBodyText"/>
      </w:pPr>
      <w:r>
        <w:tab/>
      </w:r>
    </w:p>
    <w:p w:rsidR="00B84C06" w:rsidRDefault="00B84C06" w:rsidP="00B84C06">
      <w:pPr>
        <w:pStyle w:val="Heading3"/>
      </w:pPr>
      <w:r>
        <w:t xml:space="preserve">Purpose of the Annual Governance Statement </w:t>
      </w:r>
    </w:p>
    <w:p w:rsidR="00B84C06" w:rsidRDefault="00B84C06" w:rsidP="00B84C06">
      <w:pPr>
        <w:pStyle w:val="AGSBodyText"/>
      </w:pPr>
      <w:r>
        <w:t>The Council conducts a review of its system of internal control, prepares and publishes an Annual Governance Statement in each financial year.</w:t>
      </w:r>
    </w:p>
    <w:p w:rsidR="00B84C06" w:rsidRDefault="00B84C06" w:rsidP="00B84C06">
      <w:pPr>
        <w:pStyle w:val="AGSBodyText"/>
      </w:pPr>
      <w:r>
        <w:t xml:space="preserve">This enables us to demonstrate whether, and to what extent, the Council complied with its Local Code of Governance. </w:t>
      </w:r>
    </w:p>
    <w:p w:rsidR="00B84C06" w:rsidRDefault="00B84C06" w:rsidP="00B84C06">
      <w:pPr>
        <w:pStyle w:val="AGSBodyText"/>
      </w:pPr>
      <w:r>
        <w:t>The Local Code of Governance is updated</w:t>
      </w:r>
      <w:r w:rsidR="00207722">
        <w:t xml:space="preserve"> regularly</w:t>
      </w:r>
      <w:r>
        <w:t>. This process records our good practice, and also helps us to plan further action which can improve our governance arrangements.</w:t>
      </w:r>
    </w:p>
    <w:p w:rsidR="00C371BC" w:rsidRDefault="00C371BC" w:rsidP="00C371BC">
      <w:pPr>
        <w:pStyle w:val="Heading3"/>
      </w:pPr>
      <w:r>
        <w:t>Statutory compliance</w:t>
      </w:r>
    </w:p>
    <w:p w:rsidR="00C371BC" w:rsidRDefault="00C371BC" w:rsidP="00C371BC">
      <w:pPr>
        <w:pStyle w:val="AGSBodyText"/>
      </w:pPr>
      <w:r>
        <w:t xml:space="preserve">Producing the Annual Governance Statement helps the Council meet the requirements of Regulation 6(1)b of the Accounts and Audit (England) Regulations 2015. It is reviewed by the Audit &amp; Corporate Governance Committee and approved in advance of the Statement of Accounts. </w:t>
      </w:r>
    </w:p>
    <w:p w:rsidR="00C371BC" w:rsidRDefault="00C371BC" w:rsidP="00C371BC">
      <w:pPr>
        <w:pStyle w:val="AGSBodyText"/>
      </w:pPr>
      <w:r>
        <w:t xml:space="preserve">The Council also has a duty under the Local Government Act 1999 to make arrangements to secure continuous improvement in the way in which its functions are exercised, having regard to a combination of economy, efficiency and effectiveness. That duty has grown in importance with the reduction in resources being made available for Local Authorities as part of the Government’s on-going austerity programme. </w:t>
      </w:r>
    </w:p>
    <w:p w:rsidR="00C371BC" w:rsidRDefault="00C371BC" w:rsidP="00C371BC">
      <w:pPr>
        <w:pStyle w:val="AGSBodyText"/>
      </w:pPr>
      <w:r>
        <w:t xml:space="preserve">The Councils financial management arrangements are consistent with the governance requirements of the CIPFA Statement on the Role of the Chief Financial Officer in Local Government (2010). </w:t>
      </w:r>
    </w:p>
    <w:p w:rsidR="00C371BC" w:rsidRDefault="00C371BC" w:rsidP="00C371BC">
      <w:r>
        <w:br w:type="page"/>
      </w:r>
    </w:p>
    <w:p w:rsidR="00F15DAE" w:rsidRDefault="00F15DAE" w:rsidP="00F15DAE">
      <w:pPr>
        <w:pStyle w:val="Heading2"/>
      </w:pPr>
      <w:r>
        <w:lastRenderedPageBreak/>
        <w:t>Other review and assurance mechanisms</w:t>
      </w:r>
    </w:p>
    <w:p w:rsidR="00C371BC" w:rsidRPr="00C371BC" w:rsidRDefault="005C0FC9" w:rsidP="00C371BC">
      <w:pPr>
        <w:pStyle w:val="AGSBodyText"/>
      </w:pPr>
      <w:r>
        <w:t>Management have helped to review the Local Code of Governance, and also inform the Annual Governance Statement. In addition assurance can be provided from other sources, as detailed below:</w:t>
      </w:r>
    </w:p>
    <w:p w:rsidR="00F15DAE" w:rsidRDefault="00F15DAE" w:rsidP="00F15DAE">
      <w:pPr>
        <w:pStyle w:val="Heading3"/>
      </w:pPr>
      <w:r>
        <w:t>Head of Internal Audit Opinion</w:t>
      </w:r>
    </w:p>
    <w:p w:rsidR="00F15DAE" w:rsidRDefault="00F15DAE" w:rsidP="00F15DAE">
      <w:pPr>
        <w:pStyle w:val="AGSBodyText"/>
      </w:pPr>
      <w:r w:rsidRPr="00124335">
        <w:t>The Head of Internal Audit provide</w:t>
      </w:r>
      <w:r>
        <w:t>s</w:t>
      </w:r>
      <w:r w:rsidRPr="00124335">
        <w:t xml:space="preserve"> an independent opinion on the overall adequacy of and effectiveness of the Council's governance, risk and control framework and therefore the extent to which the Council can rely on it. </w:t>
      </w:r>
      <w:r w:rsidR="00B84C06">
        <w:t xml:space="preserve">This </w:t>
      </w:r>
      <w:r w:rsidRPr="00124335">
        <w:t>has been considered in the development of the Annual Governance Statement.</w:t>
      </w:r>
    </w:p>
    <w:p w:rsidR="00F15DAE" w:rsidRDefault="00F15DAE" w:rsidP="00F15DAE">
      <w:pPr>
        <w:pStyle w:val="AGSBodyText"/>
      </w:pPr>
      <w:r>
        <w:t xml:space="preserve">The Annual Report will be presented to the Audit &amp; Corporate Governance Committee in July 2018. This report will outline the key findings of the audit work undertaken during 2017/18, including </w:t>
      </w:r>
      <w:r w:rsidR="00B84C06">
        <w:t xml:space="preserve">any </w:t>
      </w:r>
      <w:r>
        <w:t>areas of significant weakness in the internal control environment.</w:t>
      </w:r>
    </w:p>
    <w:p w:rsidR="00F15DAE" w:rsidRDefault="00F15DAE" w:rsidP="00F15DAE">
      <w:pPr>
        <w:pStyle w:val="AGSBodyText"/>
      </w:pPr>
      <w:r>
        <w:t>From the audit reviews undertaken, no areas were identified where it was considered that, if the risks highlighted materialised, it would have a major impact on the organisation as a whole. In each instance where it has been identified that the control environment was not strong enough, or was not complied with sufficiently to prevent risks to the organisation, Internal Audit has issued recommendations to further improve the system of control and compliance. Where these recommendations are considered to have significant impact on the system of internal control, the implementation of actions is followed-up by Internal Audit and is reported to Audit and Corporate Governance Committee.</w:t>
      </w:r>
    </w:p>
    <w:p w:rsidR="00F15DAE" w:rsidRDefault="00F15DAE" w:rsidP="00F15DAE">
      <w:pPr>
        <w:pStyle w:val="AGSBodyText"/>
      </w:pPr>
      <w:r>
        <w:t xml:space="preserve">It is the opinion of the Head of Internal Audit that, taking into account all available evidence, good assurance may be awarded over the adequacy and effectiveness of the Council’s overall internal control environment during the financial year 2017/18, and this remains at a similar level to the previous year. </w:t>
      </w:r>
    </w:p>
    <w:p w:rsidR="00F15DAE" w:rsidRDefault="00F15DAE" w:rsidP="00F15DAE">
      <w:pPr>
        <w:pStyle w:val="Heading3"/>
      </w:pPr>
      <w:r>
        <w:t>External Audit</w:t>
      </w:r>
    </w:p>
    <w:p w:rsidR="005C0FC9" w:rsidRDefault="00F15DAE" w:rsidP="00F15DAE">
      <w:pPr>
        <w:pStyle w:val="AGSBodyText"/>
      </w:pPr>
      <w:r>
        <w:t xml:space="preserve">Ernst &amp; Young (now EY) are the appointed external auditor. Their results report (ISA260), annual audit letter and annual report on the certification of claims and returns was presented to Audit &amp; Corporate Governance committee. </w:t>
      </w:r>
    </w:p>
    <w:p w:rsidR="00F15DAE" w:rsidRDefault="00F15DAE" w:rsidP="00F15DAE">
      <w:pPr>
        <w:pStyle w:val="AGSBodyText"/>
      </w:pPr>
      <w:r>
        <w:t xml:space="preserve">For 2016-17 EY issued unqualified audit opinions on the financial statements, value for money conclusion and whole of government accounts. </w:t>
      </w:r>
    </w:p>
    <w:p w:rsidR="005C0FC9" w:rsidRDefault="005C0FC9">
      <w:r>
        <w:br w:type="page"/>
      </w:r>
    </w:p>
    <w:p w:rsidR="0019344B" w:rsidRDefault="00F15DAE" w:rsidP="0019344B">
      <w:pPr>
        <w:pStyle w:val="Heading2"/>
      </w:pPr>
      <w:r>
        <w:lastRenderedPageBreak/>
        <w:t xml:space="preserve">Progress </w:t>
      </w:r>
      <w:r w:rsidR="0019344B">
        <w:t>from the last A</w:t>
      </w:r>
      <w:r w:rsidR="0019345B">
        <w:t xml:space="preserve">nnual </w:t>
      </w:r>
      <w:r w:rsidR="0019344B">
        <w:t>G</w:t>
      </w:r>
      <w:r w:rsidR="0019345B">
        <w:t xml:space="preserve">overnance </w:t>
      </w:r>
      <w:r w:rsidR="0019344B">
        <w:t>S</w:t>
      </w:r>
      <w:r w:rsidR="0019345B">
        <w:t>tatement</w:t>
      </w:r>
    </w:p>
    <w:p w:rsidR="00C74759" w:rsidRDefault="0019345B" w:rsidP="007E0026">
      <w:pPr>
        <w:pStyle w:val="AGSBodyText"/>
      </w:pPr>
      <w:r>
        <w:t>The Council prepar</w:t>
      </w:r>
      <w:r w:rsidR="007E0026">
        <w:t xml:space="preserve">ed an </w:t>
      </w:r>
      <w:hyperlink r:id="rId27" w:history="1">
        <w:r w:rsidR="007E0026" w:rsidRPr="00740557">
          <w:rPr>
            <w:rStyle w:val="Hyperlink"/>
          </w:rPr>
          <w:t>Annual Governance Statement for 2016/17</w:t>
        </w:r>
      </w:hyperlink>
      <w:r w:rsidR="007E0026">
        <w:t xml:space="preserve"> which was approved by the Audit and Corporate Governance Committee. </w:t>
      </w:r>
    </w:p>
    <w:p w:rsidR="007E0026" w:rsidRDefault="007E0026" w:rsidP="007E0026">
      <w:pPr>
        <w:pStyle w:val="AGSBodyText"/>
      </w:pPr>
      <w:r>
        <w:t>An update on the previous action</w:t>
      </w:r>
      <w:r w:rsidR="0019345B">
        <w:t xml:space="preserve"> plan</w:t>
      </w:r>
      <w:r>
        <w:t xml:space="preserve"> is included below:</w:t>
      </w:r>
    </w:p>
    <w:p w:rsidR="007E0026" w:rsidRDefault="007E0026" w:rsidP="007E0026">
      <w:pPr>
        <w:pStyle w:val="AGSBodyText"/>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7E0026" w:rsidTr="009D4636">
        <w:tc>
          <w:tcPr>
            <w:tcW w:w="3227" w:type="dxa"/>
            <w:shd w:val="clear" w:color="auto" w:fill="17365D" w:themeFill="text2" w:themeFillShade="BF"/>
          </w:tcPr>
          <w:p w:rsidR="007E0026" w:rsidRDefault="007E0026" w:rsidP="007E0026">
            <w:pPr>
              <w:pStyle w:val="AGSBodyText"/>
            </w:pPr>
            <w:r>
              <w:t>Action</w:t>
            </w:r>
          </w:p>
        </w:tc>
        <w:tc>
          <w:tcPr>
            <w:tcW w:w="6015" w:type="dxa"/>
            <w:shd w:val="clear" w:color="auto" w:fill="17365D" w:themeFill="text2" w:themeFillShade="BF"/>
          </w:tcPr>
          <w:p w:rsidR="007E0026" w:rsidRDefault="00740557" w:rsidP="007E0026">
            <w:pPr>
              <w:pStyle w:val="AGSBodyText"/>
            </w:pPr>
            <w:r>
              <w:t>Update and status</w:t>
            </w:r>
          </w:p>
        </w:tc>
      </w:tr>
      <w:tr w:rsidR="009F3D07" w:rsidTr="009D4636">
        <w:tc>
          <w:tcPr>
            <w:tcW w:w="3227" w:type="dxa"/>
            <w:shd w:val="clear" w:color="auto" w:fill="B8CCE4" w:themeFill="accent1" w:themeFillTint="66"/>
          </w:tcPr>
          <w:p w:rsidR="009F3D07" w:rsidRDefault="0019345B" w:rsidP="0019345B">
            <w:pPr>
              <w:pStyle w:val="AGSBodyText"/>
              <w:jc w:val="left"/>
            </w:pPr>
            <w:r>
              <w:t>Developing a s</w:t>
            </w:r>
            <w:r w:rsidR="009278B0">
              <w:t>hared Financial Management System</w:t>
            </w:r>
          </w:p>
        </w:tc>
        <w:tc>
          <w:tcPr>
            <w:tcW w:w="6015" w:type="dxa"/>
          </w:tcPr>
          <w:p w:rsidR="009F3D07" w:rsidRDefault="009278B0" w:rsidP="00835AAF">
            <w:pPr>
              <w:pStyle w:val="AGSBodyText"/>
            </w:pPr>
            <w:r>
              <w:t xml:space="preserve">This action is still in progress, and is </w:t>
            </w:r>
            <w:r w:rsidR="00835AAF">
              <w:t xml:space="preserve">also </w:t>
            </w:r>
            <w:r>
              <w:t>i</w:t>
            </w:r>
            <w:r w:rsidR="0019345B">
              <w:t xml:space="preserve">ncluded in the </w:t>
            </w:r>
            <w:r w:rsidR="00835AAF">
              <w:t>new action plan for the Annual Governance Statement 2017/18</w:t>
            </w:r>
            <w:r>
              <w:t>.</w:t>
            </w:r>
          </w:p>
        </w:tc>
      </w:tr>
      <w:tr w:rsidR="009F3D07" w:rsidTr="009D4636">
        <w:tc>
          <w:tcPr>
            <w:tcW w:w="3227" w:type="dxa"/>
            <w:shd w:val="clear" w:color="auto" w:fill="B8CCE4" w:themeFill="accent1" w:themeFillTint="66"/>
          </w:tcPr>
          <w:p w:rsidR="009F3D07" w:rsidRDefault="0019345B" w:rsidP="0019345B">
            <w:pPr>
              <w:pStyle w:val="AGSBodyText"/>
              <w:jc w:val="left"/>
            </w:pPr>
            <w:r>
              <w:t>Developing effective partnership arrangements with the C</w:t>
            </w:r>
            <w:r w:rsidR="009278B0">
              <w:t>ombined Authority</w:t>
            </w:r>
          </w:p>
        </w:tc>
        <w:tc>
          <w:tcPr>
            <w:tcW w:w="6015" w:type="dxa"/>
          </w:tcPr>
          <w:p w:rsidR="009F3D07" w:rsidRDefault="00835AAF" w:rsidP="007801C7">
            <w:pPr>
              <w:pStyle w:val="AGSBodyText"/>
            </w:pPr>
            <w:r>
              <w:t xml:space="preserve">Governance arrangements, and partnership relationships, are being </w:t>
            </w:r>
            <w:r w:rsidR="007801C7">
              <w:t xml:space="preserve">established </w:t>
            </w:r>
            <w:r>
              <w:t xml:space="preserve">as the </w:t>
            </w:r>
            <w:r w:rsidR="007801C7">
              <w:t>Cambridgeshire and Peterborough C</w:t>
            </w:r>
            <w:r>
              <w:t xml:space="preserve">ombined Authority </w:t>
            </w:r>
            <w:r w:rsidR="007801C7">
              <w:t xml:space="preserve">continues to </w:t>
            </w:r>
            <w:r>
              <w:t xml:space="preserve">develop. </w:t>
            </w:r>
            <w:r w:rsidR="009278B0">
              <w:t>Progress reports</w:t>
            </w:r>
            <w:r w:rsidR="007801C7">
              <w:t xml:space="preserve">, summarising the work </w:t>
            </w:r>
            <w:r w:rsidR="009278B0">
              <w:t>of the Combined Authority</w:t>
            </w:r>
            <w:r w:rsidR="007801C7">
              <w:t>,</w:t>
            </w:r>
            <w:r w:rsidR="009278B0">
              <w:t xml:space="preserve"> </w:t>
            </w:r>
            <w:r w:rsidR="007801C7">
              <w:t xml:space="preserve">have been </w:t>
            </w:r>
            <w:r w:rsidR="009278B0">
              <w:t>presented to Council.</w:t>
            </w:r>
          </w:p>
        </w:tc>
      </w:tr>
      <w:tr w:rsidR="007E0026" w:rsidTr="009D4636">
        <w:tc>
          <w:tcPr>
            <w:tcW w:w="3227" w:type="dxa"/>
            <w:shd w:val="clear" w:color="auto" w:fill="B8CCE4" w:themeFill="accent1" w:themeFillTint="66"/>
          </w:tcPr>
          <w:p w:rsidR="007E0026" w:rsidRDefault="009D4636" w:rsidP="009D4636">
            <w:pPr>
              <w:pStyle w:val="AGSBodyText"/>
              <w:jc w:val="left"/>
            </w:pPr>
            <w:r>
              <w:t xml:space="preserve">Planning a review of revised procedures for </w:t>
            </w:r>
            <w:r w:rsidR="009278B0">
              <w:t>Corporate Governance</w:t>
            </w:r>
            <w:r>
              <w:t>:</w:t>
            </w:r>
            <w:r w:rsidR="009278B0">
              <w:t xml:space="preserve"> Gifts and Hospitality</w:t>
            </w:r>
          </w:p>
        </w:tc>
        <w:tc>
          <w:tcPr>
            <w:tcW w:w="6015" w:type="dxa"/>
          </w:tcPr>
          <w:p w:rsidR="007E0026" w:rsidRDefault="009278B0" w:rsidP="007E0026">
            <w:pPr>
              <w:pStyle w:val="AGSBodyText"/>
            </w:pPr>
            <w:r>
              <w:t>A review was scheduled for 2018/19</w:t>
            </w:r>
            <w:r w:rsidR="009D4636">
              <w:t>, which was approved by the Audit and Corporate Governance committee,</w:t>
            </w:r>
            <w:r>
              <w:t xml:space="preserve"> and is currently in progress.</w:t>
            </w:r>
          </w:p>
        </w:tc>
      </w:tr>
      <w:tr w:rsidR="007E0026" w:rsidTr="009D4636">
        <w:tc>
          <w:tcPr>
            <w:tcW w:w="3227" w:type="dxa"/>
            <w:shd w:val="clear" w:color="auto" w:fill="B8CCE4" w:themeFill="accent1" w:themeFillTint="66"/>
          </w:tcPr>
          <w:p w:rsidR="007E0026" w:rsidRDefault="009D4636" w:rsidP="009D4636">
            <w:pPr>
              <w:pStyle w:val="AGSBodyText"/>
              <w:jc w:val="left"/>
            </w:pPr>
            <w:r>
              <w:t xml:space="preserve">Developing </w:t>
            </w:r>
            <w:r w:rsidR="00B946B2">
              <w:t>Shared Service reporting arrangements</w:t>
            </w:r>
          </w:p>
        </w:tc>
        <w:tc>
          <w:tcPr>
            <w:tcW w:w="6015" w:type="dxa"/>
          </w:tcPr>
          <w:p w:rsidR="00B946B2" w:rsidRDefault="007801C7" w:rsidP="007801C7">
            <w:pPr>
              <w:pStyle w:val="AGSBodyText"/>
            </w:pPr>
            <w:r>
              <w:t>Reporting arrangements for Shared Services have been established</w:t>
            </w:r>
            <w:r w:rsidR="00B946B2">
              <w:t>.</w:t>
            </w:r>
            <w:r w:rsidR="0019345B">
              <w:t xml:space="preserve"> </w:t>
            </w:r>
            <w:r w:rsidR="00B946B2">
              <w:t xml:space="preserve">Monitoring reports are submitted to </w:t>
            </w:r>
            <w:r w:rsidR="009D4636">
              <w:t xml:space="preserve">the Councils </w:t>
            </w:r>
            <w:r w:rsidR="00B946B2">
              <w:t>C</w:t>
            </w:r>
            <w:r w:rsidR="009D4636">
              <w:t xml:space="preserve">orporate </w:t>
            </w:r>
            <w:r w:rsidR="00B946B2">
              <w:t>M</w:t>
            </w:r>
            <w:r w:rsidR="009D4636">
              <w:t xml:space="preserve">anagement </w:t>
            </w:r>
            <w:r w:rsidR="00B946B2">
              <w:t>T</w:t>
            </w:r>
            <w:r w:rsidR="009D4636">
              <w:t xml:space="preserve">eam </w:t>
            </w:r>
            <w:r w:rsidR="00B946B2">
              <w:t xml:space="preserve">and </w:t>
            </w:r>
            <w:r w:rsidR="009D4636">
              <w:t xml:space="preserve">a </w:t>
            </w:r>
            <w:r w:rsidR="00B946B2">
              <w:t>Shared Service Board as regular practice.</w:t>
            </w:r>
            <w:r>
              <w:t xml:space="preserve"> Business plans have been approved by Cabinet.</w:t>
            </w:r>
          </w:p>
        </w:tc>
      </w:tr>
    </w:tbl>
    <w:p w:rsidR="007E0026" w:rsidRDefault="007E0026" w:rsidP="007E0026">
      <w:pPr>
        <w:pStyle w:val="AGSBodyText"/>
        <w:sectPr w:rsidR="007E0026">
          <w:pgSz w:w="11906" w:h="16838"/>
          <w:pgMar w:top="1440" w:right="1440" w:bottom="1440" w:left="1440" w:header="708" w:footer="708" w:gutter="0"/>
          <w:cols w:space="708"/>
          <w:docGrid w:linePitch="360"/>
        </w:sectPr>
      </w:pPr>
    </w:p>
    <w:p w:rsidR="0019344B" w:rsidRDefault="0019344B" w:rsidP="0019344B">
      <w:pPr>
        <w:pStyle w:val="Heading2"/>
      </w:pPr>
      <w:r>
        <w:lastRenderedPageBreak/>
        <w:t>Review of effectiveness</w:t>
      </w:r>
    </w:p>
    <w:p w:rsidR="00B84C06" w:rsidRDefault="00B84C06" w:rsidP="00B84C06">
      <w:pPr>
        <w:pStyle w:val="AGSBodyText"/>
      </w:pPr>
      <w:r>
        <w:t xml:space="preserve">The Council has a number of policies and procedures which are recorded in its Local Code of Governance. These are mapped to the 7 </w:t>
      </w:r>
      <w:r w:rsidRPr="000C13AA">
        <w:t>principles of good governance</w:t>
      </w:r>
      <w:r>
        <w:t>.</w:t>
      </w:r>
      <w:r w:rsidRPr="000C13AA">
        <w:t xml:space="preserve"> </w:t>
      </w:r>
    </w:p>
    <w:p w:rsidR="00C6575B" w:rsidRDefault="00C6575B" w:rsidP="00C6575B">
      <w:pPr>
        <w:pStyle w:val="AGSBodyText"/>
      </w:pPr>
      <w:r>
        <w:t xml:space="preserve">The effectiveness of </w:t>
      </w:r>
      <w:r w:rsidR="00B84C06">
        <w:t xml:space="preserve">the </w:t>
      </w:r>
      <w:r>
        <w:t xml:space="preserve">key elements of the governance framework </w:t>
      </w:r>
      <w:r w:rsidR="00F15DAE">
        <w:t>is</w:t>
      </w:r>
      <w:r>
        <w:t xml:space="preserve"> </w:t>
      </w:r>
      <w:r w:rsidR="00B84C06">
        <w:t>reviewed</w:t>
      </w:r>
      <w:r>
        <w:t xml:space="preserve"> throughout the year</w:t>
      </w:r>
      <w:r w:rsidR="00B84C06">
        <w:t xml:space="preserve">. </w:t>
      </w:r>
      <w:r>
        <w:t xml:space="preserve">The review is informed by the work of senior officers who have responsibility for the development and maintenance of the governance environment, the Head of Internal Audit’s annual report, and from comments received from external auditors and other review agencies and inspectorates. </w:t>
      </w:r>
    </w:p>
    <w:p w:rsidR="0019344B" w:rsidRDefault="00B84C06" w:rsidP="000C13AA">
      <w:pPr>
        <w:pStyle w:val="AGSBodyText"/>
      </w:pPr>
      <w:r>
        <w:t xml:space="preserve">Ongoing good practice is recorded in the </w:t>
      </w:r>
      <w:hyperlink r:id="rId28" w:history="1">
        <w:r w:rsidRPr="005C0FC9">
          <w:rPr>
            <w:rStyle w:val="Hyperlink"/>
          </w:rPr>
          <w:t>Local Code of Governance</w:t>
        </w:r>
      </w:hyperlink>
      <w:r w:rsidR="000C13AA">
        <w:t>.</w:t>
      </w:r>
      <w:r>
        <w:t xml:space="preserve"> </w:t>
      </w:r>
      <w:r w:rsidR="00D714DC">
        <w:t>Additional e</w:t>
      </w:r>
      <w:r w:rsidR="000C13AA">
        <w:t>xamples of good practice from the last twelve months,</w:t>
      </w:r>
      <w:r w:rsidR="005C0FC9">
        <w:t xml:space="preserve"> and governance issues, </w:t>
      </w:r>
      <w:r w:rsidR="000C13AA">
        <w:t>considered when completing the review</w:t>
      </w:r>
      <w:r w:rsidR="005C0FC9">
        <w:t xml:space="preserve"> a</w:t>
      </w:r>
      <w:r w:rsidR="000C13AA">
        <w:t>re recorded below:</w:t>
      </w:r>
    </w:p>
    <w:p w:rsidR="00B84C06" w:rsidRDefault="00B84C06" w:rsidP="000C13AA">
      <w:pPr>
        <w:pStyle w:val="AGSBodyT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2625"/>
        <w:gridCol w:w="10948"/>
      </w:tblGrid>
      <w:tr w:rsidR="002D73ED" w:rsidTr="00B84C06">
        <w:trPr>
          <w:tblHeader/>
        </w:trPr>
        <w:tc>
          <w:tcPr>
            <w:tcW w:w="212" w:type="pct"/>
            <w:tcBorders>
              <w:top w:val="nil"/>
              <w:bottom w:val="single" w:sz="4" w:space="0" w:color="auto"/>
              <w:right w:val="nil"/>
            </w:tcBorders>
            <w:shd w:val="clear" w:color="auto" w:fill="17365D" w:themeFill="text2" w:themeFillShade="BF"/>
          </w:tcPr>
          <w:p w:rsidR="002D73ED" w:rsidRDefault="002D73ED" w:rsidP="002D73ED">
            <w:pPr>
              <w:spacing w:before="120"/>
            </w:pPr>
          </w:p>
        </w:tc>
        <w:tc>
          <w:tcPr>
            <w:tcW w:w="926" w:type="pct"/>
            <w:tcBorders>
              <w:top w:val="nil"/>
              <w:left w:val="nil"/>
              <w:bottom w:val="single" w:sz="4" w:space="0" w:color="auto"/>
            </w:tcBorders>
            <w:shd w:val="clear" w:color="auto" w:fill="17365D" w:themeFill="text2" w:themeFillShade="BF"/>
          </w:tcPr>
          <w:p w:rsidR="002D73ED" w:rsidRPr="00654557" w:rsidRDefault="002D73ED" w:rsidP="002D73ED">
            <w:pPr>
              <w:spacing w:before="120"/>
            </w:pPr>
            <w:r>
              <w:t>Principle</w:t>
            </w:r>
          </w:p>
        </w:tc>
        <w:tc>
          <w:tcPr>
            <w:tcW w:w="3862" w:type="pct"/>
            <w:shd w:val="clear" w:color="auto" w:fill="17365D" w:themeFill="text2" w:themeFillShade="BF"/>
          </w:tcPr>
          <w:p w:rsidR="002D73ED" w:rsidRDefault="002D73ED" w:rsidP="00B84C06">
            <w:pPr>
              <w:spacing w:before="120"/>
              <w:ind w:firstLine="743"/>
            </w:pPr>
            <w:r>
              <w:t>Review of effectiveness</w:t>
            </w:r>
          </w:p>
        </w:tc>
      </w:tr>
      <w:tr w:rsidR="002D73ED" w:rsidTr="00B84C06">
        <w:tc>
          <w:tcPr>
            <w:tcW w:w="212" w:type="pct"/>
            <w:tcBorders>
              <w:top w:val="nil"/>
              <w:bottom w:val="single" w:sz="4" w:space="0" w:color="auto"/>
              <w:right w:val="nil"/>
            </w:tcBorders>
            <w:shd w:val="clear" w:color="auto" w:fill="B8CCE4" w:themeFill="accent1" w:themeFillTint="66"/>
          </w:tcPr>
          <w:p w:rsidR="002D73ED" w:rsidRDefault="002D73ED" w:rsidP="002D73ED">
            <w:pPr>
              <w:spacing w:before="120"/>
            </w:pPr>
            <w:r>
              <w:t>A</w:t>
            </w:r>
          </w:p>
        </w:tc>
        <w:tc>
          <w:tcPr>
            <w:tcW w:w="926" w:type="pct"/>
            <w:tcBorders>
              <w:top w:val="nil"/>
              <w:left w:val="nil"/>
              <w:bottom w:val="single" w:sz="4" w:space="0" w:color="auto"/>
            </w:tcBorders>
            <w:shd w:val="clear" w:color="auto" w:fill="B8CCE4" w:themeFill="accent1" w:themeFillTint="66"/>
          </w:tcPr>
          <w:p w:rsidR="002D73ED" w:rsidRDefault="002D73ED" w:rsidP="002D73ED">
            <w:pPr>
              <w:spacing w:before="120"/>
            </w:pPr>
            <w:r w:rsidRPr="00654557">
              <w:t>Behave: integrity, ethical values, respect rule of law</w:t>
            </w:r>
          </w:p>
        </w:tc>
        <w:tc>
          <w:tcPr>
            <w:tcW w:w="3862" w:type="pct"/>
          </w:tcPr>
          <w:p w:rsidR="002D73ED" w:rsidRDefault="00D714DC" w:rsidP="002D73ED">
            <w:pPr>
              <w:pStyle w:val="ListParagraph"/>
              <w:numPr>
                <w:ilvl w:val="0"/>
                <w:numId w:val="1"/>
              </w:numPr>
              <w:spacing w:before="120"/>
              <w:contextualSpacing w:val="0"/>
            </w:pPr>
            <w:r>
              <w:t>We have r</w:t>
            </w:r>
            <w:r w:rsidR="002D73ED">
              <w:t>evised HR policies, such as Dignity at Work</w:t>
            </w:r>
            <w:r>
              <w:t>.</w:t>
            </w:r>
          </w:p>
          <w:p w:rsidR="002D73ED" w:rsidRDefault="002D73ED" w:rsidP="002D73ED">
            <w:pPr>
              <w:pStyle w:val="ListParagraph"/>
              <w:numPr>
                <w:ilvl w:val="0"/>
                <w:numId w:val="1"/>
              </w:numPr>
              <w:spacing w:before="120"/>
              <w:contextualSpacing w:val="0"/>
            </w:pPr>
            <w:r>
              <w:t>The VALUES of the Council have been promoted to employees</w:t>
            </w:r>
            <w:r w:rsidR="00D714DC">
              <w:t>.</w:t>
            </w:r>
          </w:p>
          <w:p w:rsidR="002D73ED" w:rsidRPr="00054ECE" w:rsidRDefault="002D73ED" w:rsidP="002D73ED">
            <w:pPr>
              <w:pStyle w:val="ListParagraph"/>
              <w:numPr>
                <w:ilvl w:val="0"/>
                <w:numId w:val="1"/>
              </w:numPr>
              <w:spacing w:before="120"/>
              <w:contextualSpacing w:val="0"/>
            </w:pPr>
            <w:r>
              <w:t>Management have provided feedback that the framework of HR Policies supported them to ensure there are high levels of conduct and ethical behaviour, and there are low levels of non-compliance with Policies</w:t>
            </w:r>
            <w:r w:rsidR="00D714DC">
              <w:t>.</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t>B</w:t>
            </w:r>
          </w:p>
        </w:tc>
        <w:tc>
          <w:tcPr>
            <w:tcW w:w="926" w:type="pct"/>
            <w:tcBorders>
              <w:top w:val="single" w:sz="4" w:space="0" w:color="auto"/>
              <w:left w:val="nil"/>
              <w:bottom w:val="single" w:sz="4" w:space="0" w:color="auto"/>
            </w:tcBorders>
            <w:shd w:val="clear" w:color="auto" w:fill="B8CCE4" w:themeFill="accent1" w:themeFillTint="66"/>
          </w:tcPr>
          <w:p w:rsidR="002D73ED" w:rsidRPr="00581F63" w:rsidRDefault="002D73ED" w:rsidP="002D73ED">
            <w:pPr>
              <w:spacing w:before="120"/>
            </w:pPr>
            <w:r w:rsidRPr="00581F63">
              <w:t>Openness &amp; stakeholder engagement</w:t>
            </w:r>
          </w:p>
        </w:tc>
        <w:tc>
          <w:tcPr>
            <w:tcW w:w="3862" w:type="pct"/>
          </w:tcPr>
          <w:p w:rsidR="002D73ED" w:rsidRDefault="009F3D07" w:rsidP="002D73ED">
            <w:pPr>
              <w:pStyle w:val="ListParagraph"/>
              <w:numPr>
                <w:ilvl w:val="0"/>
                <w:numId w:val="1"/>
              </w:numPr>
              <w:spacing w:before="120"/>
              <w:contextualSpacing w:val="0"/>
            </w:pPr>
            <w:r>
              <w:t>H</w:t>
            </w:r>
            <w:r w:rsidR="00D714DC">
              <w:t xml:space="preserve">uman </w:t>
            </w:r>
            <w:r>
              <w:t>R</w:t>
            </w:r>
            <w:r w:rsidR="00D714DC">
              <w:t>esources</w:t>
            </w:r>
            <w:r>
              <w:t xml:space="preserve"> </w:t>
            </w:r>
            <w:r w:rsidR="00D714DC">
              <w:t>“</w:t>
            </w:r>
            <w:r>
              <w:t>Drop in</w:t>
            </w:r>
            <w:r w:rsidR="006C2E47">
              <w:t xml:space="preserve"> sessions</w:t>
            </w:r>
            <w:r w:rsidR="00D714DC">
              <w:t>”</w:t>
            </w:r>
            <w:r w:rsidR="006C2E47">
              <w:t xml:space="preserve"> were held throug</w:t>
            </w:r>
            <w:r w:rsidR="00D41A29">
              <w:t>hout the year</w:t>
            </w:r>
            <w:r w:rsidR="00D714DC">
              <w:t>, enabling</w:t>
            </w:r>
            <w:r w:rsidR="00D41A29">
              <w:t xml:space="preserve"> employee</w:t>
            </w:r>
            <w:r w:rsidR="006C2E47">
              <w:t>s to discuss and understand rel</w:t>
            </w:r>
            <w:r>
              <w:t>e</w:t>
            </w:r>
            <w:r w:rsidR="006C2E47">
              <w:t>vant topics such as job evaluation and hea</w:t>
            </w:r>
            <w:r w:rsidR="00D41A29">
              <w:t>l</w:t>
            </w:r>
            <w:r w:rsidR="006C2E47">
              <w:t>th and wellbeing.</w:t>
            </w:r>
          </w:p>
          <w:p w:rsidR="006C2E47" w:rsidRDefault="006C2E47" w:rsidP="002D73ED">
            <w:pPr>
              <w:pStyle w:val="ListParagraph"/>
              <w:numPr>
                <w:ilvl w:val="0"/>
                <w:numId w:val="1"/>
              </w:numPr>
              <w:spacing w:before="120"/>
              <w:contextualSpacing w:val="0"/>
            </w:pPr>
            <w:r>
              <w:t xml:space="preserve">A user group was setup with partners to </w:t>
            </w:r>
            <w:r w:rsidR="00D714DC">
              <w:t xml:space="preserve">proactively </w:t>
            </w:r>
            <w:r>
              <w:t xml:space="preserve">manage complaints with the A14 development. </w:t>
            </w:r>
          </w:p>
          <w:p w:rsidR="006C2E47" w:rsidRDefault="00D714DC" w:rsidP="006C2E47">
            <w:pPr>
              <w:pStyle w:val="ListParagraph"/>
              <w:numPr>
                <w:ilvl w:val="0"/>
                <w:numId w:val="1"/>
              </w:numPr>
              <w:spacing w:before="120"/>
              <w:contextualSpacing w:val="0"/>
            </w:pPr>
            <w:r>
              <w:t>A Joint Str</w:t>
            </w:r>
            <w:r w:rsidR="006C2E47">
              <w:t>at</w:t>
            </w:r>
            <w:r>
              <w:t>e</w:t>
            </w:r>
            <w:r w:rsidR="006C2E47">
              <w:t xml:space="preserve">gic Needs Assessment </w:t>
            </w:r>
            <w:r>
              <w:t xml:space="preserve">was used </w:t>
            </w:r>
            <w:r w:rsidR="006C2E47">
              <w:t>to inform Health and well</w:t>
            </w:r>
            <w:r w:rsidR="007E0026">
              <w:t>b</w:t>
            </w:r>
            <w:r w:rsidR="006C2E47">
              <w:t>eing priorities</w:t>
            </w:r>
            <w:r>
              <w:t>.</w:t>
            </w:r>
          </w:p>
          <w:p w:rsidR="00223423" w:rsidRDefault="006C2E47" w:rsidP="006C2E47">
            <w:pPr>
              <w:pStyle w:val="ListParagraph"/>
              <w:numPr>
                <w:ilvl w:val="0"/>
                <w:numId w:val="1"/>
              </w:numPr>
              <w:spacing w:before="120"/>
              <w:contextualSpacing w:val="0"/>
            </w:pPr>
            <w:r>
              <w:t>We started up a “Let</w:t>
            </w:r>
            <w:r w:rsidR="00223423">
              <w:t>’</w:t>
            </w:r>
            <w:r>
              <w:t>s Talk” engagement</w:t>
            </w:r>
            <w:r w:rsidR="00D714DC">
              <w:t>, which included</w:t>
            </w:r>
            <w:r w:rsidR="00223423">
              <w:t xml:space="preserve"> workshops and events </w:t>
            </w:r>
            <w:r>
              <w:t>t</w:t>
            </w:r>
            <w:r w:rsidR="00223423">
              <w:t>o inform Corporate Objective set</w:t>
            </w:r>
            <w:r>
              <w:t>ting</w:t>
            </w:r>
            <w:r w:rsidR="00D714DC">
              <w:t xml:space="preserve">. Examples included </w:t>
            </w:r>
            <w:r>
              <w:t>focus groups with a range of stakeholder</w:t>
            </w:r>
            <w:r w:rsidR="00D714DC">
              <w:t>s</w:t>
            </w:r>
            <w:r>
              <w:t xml:space="preserve"> including LGBT, </w:t>
            </w:r>
            <w:r w:rsidR="00223423">
              <w:t>Religious</w:t>
            </w:r>
            <w:r>
              <w:t xml:space="preserve"> Groups, and new residents.</w:t>
            </w:r>
            <w:r w:rsidR="00D714DC">
              <w:t xml:space="preserve"> Further business e</w:t>
            </w:r>
            <w:r w:rsidR="00223423">
              <w:t xml:space="preserve">ngagement </w:t>
            </w:r>
            <w:r w:rsidR="00D714DC">
              <w:t>was developed un</w:t>
            </w:r>
            <w:r w:rsidR="00223423">
              <w:t>der the “Let’s Talk” program</w:t>
            </w:r>
            <w:r w:rsidR="00D714DC">
              <w:t>.</w:t>
            </w:r>
          </w:p>
          <w:p w:rsidR="006C2E47" w:rsidRDefault="00D714DC" w:rsidP="00D714DC">
            <w:pPr>
              <w:pStyle w:val="ListParagraph"/>
              <w:numPr>
                <w:ilvl w:val="0"/>
                <w:numId w:val="1"/>
              </w:numPr>
              <w:spacing w:before="120"/>
              <w:contextualSpacing w:val="0"/>
            </w:pPr>
            <w:r>
              <w:t>Manager used “</w:t>
            </w:r>
            <w:r w:rsidR="00996E8F">
              <w:t>Action learning leadership</w:t>
            </w:r>
            <w:r>
              <w:t>”</w:t>
            </w:r>
            <w:r w:rsidR="00996E8F">
              <w:t xml:space="preserve"> </w:t>
            </w:r>
            <w:r>
              <w:t xml:space="preserve">to </w:t>
            </w:r>
            <w:r w:rsidR="00996E8F">
              <w:t>review the equality scheme</w:t>
            </w:r>
            <w:r w:rsidR="006C2E47">
              <w:t xml:space="preserve"> </w:t>
            </w:r>
            <w:r w:rsidR="00996E8F">
              <w:t>and ma</w:t>
            </w:r>
            <w:r>
              <w:t>ke</w:t>
            </w:r>
            <w:r w:rsidR="00996E8F">
              <w:t xml:space="preserve"> recommendations to </w:t>
            </w:r>
            <w:r>
              <w:t xml:space="preserve">the </w:t>
            </w:r>
            <w:r w:rsidR="00996E8F">
              <w:t>E</w:t>
            </w:r>
            <w:r>
              <w:t xml:space="preserve">xecutive </w:t>
            </w:r>
            <w:r w:rsidR="00996E8F">
              <w:t>M</w:t>
            </w:r>
            <w:r>
              <w:t xml:space="preserve">anagement </w:t>
            </w:r>
            <w:r w:rsidR="00996E8F">
              <w:t>T</w:t>
            </w:r>
            <w:r>
              <w:t>eam</w:t>
            </w:r>
            <w:r w:rsidR="00996E8F">
              <w:t xml:space="preserve"> with the priorities and resourcing.</w:t>
            </w:r>
            <w:r w:rsidR="006C2E47">
              <w:t xml:space="preserve"> </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lastRenderedPageBreak/>
              <w:t>C</w:t>
            </w:r>
          </w:p>
        </w:tc>
        <w:tc>
          <w:tcPr>
            <w:tcW w:w="926" w:type="pct"/>
            <w:tcBorders>
              <w:top w:val="single" w:sz="4" w:space="0" w:color="auto"/>
              <w:left w:val="nil"/>
              <w:bottom w:val="single" w:sz="4" w:space="0" w:color="auto"/>
            </w:tcBorders>
            <w:shd w:val="clear" w:color="auto" w:fill="B8CCE4" w:themeFill="accent1" w:themeFillTint="66"/>
          </w:tcPr>
          <w:p w:rsidR="002D73ED" w:rsidRPr="00581F63" w:rsidRDefault="002D73ED" w:rsidP="002D73ED">
            <w:pPr>
              <w:spacing w:before="120"/>
            </w:pPr>
            <w:r w:rsidRPr="00581F63">
              <w:t>Defining outcomes - economic, social, environmental</w:t>
            </w:r>
          </w:p>
        </w:tc>
        <w:tc>
          <w:tcPr>
            <w:tcW w:w="3862" w:type="pct"/>
          </w:tcPr>
          <w:p w:rsidR="002D73ED" w:rsidRDefault="00996E8F" w:rsidP="002D73ED">
            <w:pPr>
              <w:pStyle w:val="ListParagraph"/>
              <w:numPr>
                <w:ilvl w:val="0"/>
                <w:numId w:val="1"/>
              </w:numPr>
              <w:spacing w:before="120"/>
              <w:contextualSpacing w:val="0"/>
            </w:pPr>
            <w:r>
              <w:t>E</w:t>
            </w:r>
            <w:r w:rsidR="00D714DC">
              <w:t xml:space="preserve">xecutive </w:t>
            </w:r>
            <w:r>
              <w:t>M</w:t>
            </w:r>
            <w:r w:rsidR="00D714DC">
              <w:t xml:space="preserve">anagement </w:t>
            </w:r>
            <w:r>
              <w:t>T</w:t>
            </w:r>
            <w:r w:rsidR="00D714DC">
              <w:t xml:space="preserve">eam </w:t>
            </w:r>
            <w:r>
              <w:t xml:space="preserve">and </w:t>
            </w:r>
            <w:r w:rsidR="00D714DC">
              <w:t xml:space="preserve">the </w:t>
            </w:r>
            <w:r>
              <w:t>C</w:t>
            </w:r>
            <w:r w:rsidR="00D714DC">
              <w:t xml:space="preserve">orporate </w:t>
            </w:r>
            <w:r>
              <w:t>M</w:t>
            </w:r>
            <w:r w:rsidR="00D714DC">
              <w:t xml:space="preserve">anagement </w:t>
            </w:r>
            <w:r>
              <w:t>T</w:t>
            </w:r>
            <w:r w:rsidR="00D714DC">
              <w:t xml:space="preserve">eam worked together to help develop a </w:t>
            </w:r>
            <w:r>
              <w:t>new Corporate Plan</w:t>
            </w:r>
            <w:r w:rsidR="00D714DC">
              <w:t xml:space="preserve"> with members</w:t>
            </w:r>
            <w:r>
              <w:t xml:space="preserve">. </w:t>
            </w:r>
          </w:p>
          <w:p w:rsidR="00996E8F" w:rsidRDefault="00996E8F" w:rsidP="002D73ED">
            <w:pPr>
              <w:pStyle w:val="ListParagraph"/>
              <w:numPr>
                <w:ilvl w:val="0"/>
                <w:numId w:val="1"/>
              </w:numPr>
              <w:spacing w:before="120"/>
              <w:contextualSpacing w:val="0"/>
            </w:pPr>
            <w:r>
              <w:t>We delivered a trailblazer project to address homelessness which included a number of external agencies.</w:t>
            </w:r>
          </w:p>
          <w:p w:rsidR="00996E8F" w:rsidRDefault="00D714DC" w:rsidP="00D41A29">
            <w:pPr>
              <w:pStyle w:val="ListParagraph"/>
              <w:numPr>
                <w:ilvl w:val="0"/>
                <w:numId w:val="1"/>
              </w:numPr>
              <w:spacing w:before="120"/>
              <w:contextualSpacing w:val="0"/>
            </w:pPr>
            <w:r>
              <w:t>We</w:t>
            </w:r>
            <w:r w:rsidR="00D41A29">
              <w:t xml:space="preserve"> responded to recommendations from a Local G</w:t>
            </w:r>
            <w:r w:rsidR="00353EBF">
              <w:t xml:space="preserve">overnance </w:t>
            </w:r>
            <w:r w:rsidR="00D41A29">
              <w:t>A</w:t>
            </w:r>
            <w:r w:rsidR="00353EBF">
              <w:t>ssociation</w:t>
            </w:r>
            <w:r w:rsidR="00D41A29">
              <w:t xml:space="preserve"> Peer Review, such as Shared Services Strategic Position Statement, preparing for </w:t>
            </w:r>
            <w:r>
              <w:t xml:space="preserve">the </w:t>
            </w:r>
            <w:r w:rsidR="00D41A29">
              <w:t>creation of a combined authority.</w:t>
            </w:r>
          </w:p>
          <w:p w:rsidR="00D41A29" w:rsidRDefault="00D714DC" w:rsidP="00D714DC">
            <w:pPr>
              <w:pStyle w:val="ListParagraph"/>
              <w:numPr>
                <w:ilvl w:val="0"/>
                <w:numId w:val="1"/>
              </w:numPr>
              <w:spacing w:before="120"/>
              <w:contextualSpacing w:val="0"/>
            </w:pPr>
            <w:r>
              <w:t>The Council e</w:t>
            </w:r>
            <w:r w:rsidR="00D41A29">
              <w:t>stablished Shire Homes a</w:t>
            </w:r>
            <w:r>
              <w:t xml:space="preserve">s </w:t>
            </w:r>
            <w:r w:rsidR="00D41A29">
              <w:t>an innovative solution to addressing housing need in the district</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t>D</w:t>
            </w:r>
          </w:p>
        </w:tc>
        <w:tc>
          <w:tcPr>
            <w:tcW w:w="926" w:type="pct"/>
            <w:tcBorders>
              <w:top w:val="single" w:sz="4" w:space="0" w:color="auto"/>
              <w:left w:val="nil"/>
              <w:bottom w:val="single" w:sz="4" w:space="0" w:color="auto"/>
            </w:tcBorders>
            <w:shd w:val="clear" w:color="auto" w:fill="B8CCE4" w:themeFill="accent1" w:themeFillTint="66"/>
          </w:tcPr>
          <w:p w:rsidR="002D73ED" w:rsidRPr="00581F63" w:rsidRDefault="002D73ED" w:rsidP="002D73ED">
            <w:pPr>
              <w:spacing w:before="120"/>
            </w:pPr>
            <w:r w:rsidRPr="00581F63">
              <w:t>Determine interventions to achieve outcomes</w:t>
            </w:r>
          </w:p>
        </w:tc>
        <w:tc>
          <w:tcPr>
            <w:tcW w:w="3862" w:type="pct"/>
          </w:tcPr>
          <w:p w:rsidR="002D73ED" w:rsidRDefault="00C037B0" w:rsidP="002D73ED">
            <w:pPr>
              <w:pStyle w:val="ListParagraph"/>
              <w:numPr>
                <w:ilvl w:val="0"/>
                <w:numId w:val="1"/>
              </w:numPr>
              <w:spacing w:before="120"/>
              <w:contextualSpacing w:val="0"/>
            </w:pPr>
            <w:r>
              <w:t xml:space="preserve">We are updating the project management toolkit to provide guidance on business benefits realisation, and also to share lessons learnt for continued improvement. </w:t>
            </w:r>
            <w:r w:rsidR="00D714DC">
              <w:t>We r</w:t>
            </w:r>
            <w:r w:rsidR="009F3D07">
              <w:t>an training for project sponsors to help embed good project management governance</w:t>
            </w:r>
            <w:r w:rsidR="00D714DC">
              <w:t>.</w:t>
            </w:r>
          </w:p>
          <w:p w:rsidR="00D2557D" w:rsidRDefault="00D714DC" w:rsidP="00C037B0">
            <w:pPr>
              <w:pStyle w:val="ListParagraph"/>
              <w:numPr>
                <w:ilvl w:val="0"/>
                <w:numId w:val="1"/>
              </w:numPr>
              <w:spacing w:before="120"/>
              <w:contextualSpacing w:val="0"/>
            </w:pPr>
            <w:r>
              <w:t>Shared Services governance was developed with regular</w:t>
            </w:r>
            <w:r w:rsidR="009F3D07">
              <w:t xml:space="preserve"> reports now presented regularly to </w:t>
            </w:r>
            <w:r>
              <w:t xml:space="preserve">the </w:t>
            </w:r>
            <w:r w:rsidR="009F3D07">
              <w:t>C</w:t>
            </w:r>
            <w:r>
              <w:t xml:space="preserve">orporate </w:t>
            </w:r>
            <w:r w:rsidR="009F3D07">
              <w:t>M</w:t>
            </w:r>
            <w:r>
              <w:t xml:space="preserve">anagement </w:t>
            </w:r>
            <w:r w:rsidR="009F3D07">
              <w:t>T</w:t>
            </w:r>
            <w:r>
              <w:t>eam</w:t>
            </w:r>
            <w:r w:rsidR="009F3D07">
              <w:t xml:space="preserve">, and </w:t>
            </w:r>
            <w:r>
              <w:t xml:space="preserve">the </w:t>
            </w:r>
            <w:r w:rsidR="009F3D07">
              <w:t>Shared Services Board</w:t>
            </w:r>
            <w:r>
              <w:t>. B</w:t>
            </w:r>
            <w:r w:rsidR="009F3D07">
              <w:t xml:space="preserve">usiness plans </w:t>
            </w:r>
            <w:r>
              <w:t xml:space="preserve">were </w:t>
            </w:r>
            <w:r w:rsidR="009F3D07">
              <w:t>approved by Cabinet</w:t>
            </w:r>
            <w:r>
              <w:t>.</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t>E</w:t>
            </w:r>
          </w:p>
        </w:tc>
        <w:tc>
          <w:tcPr>
            <w:tcW w:w="926" w:type="pct"/>
            <w:tcBorders>
              <w:top w:val="single" w:sz="4" w:space="0" w:color="auto"/>
              <w:left w:val="nil"/>
              <w:bottom w:val="single" w:sz="4" w:space="0" w:color="auto"/>
            </w:tcBorders>
            <w:shd w:val="clear" w:color="auto" w:fill="B8CCE4" w:themeFill="accent1" w:themeFillTint="66"/>
          </w:tcPr>
          <w:p w:rsidR="002D73ED" w:rsidRPr="00581F63" w:rsidRDefault="002D73ED" w:rsidP="002D73ED">
            <w:pPr>
              <w:spacing w:before="120"/>
            </w:pPr>
            <w:r w:rsidRPr="00581F63">
              <w:t>Develop capacity and capability of entity</w:t>
            </w:r>
          </w:p>
        </w:tc>
        <w:tc>
          <w:tcPr>
            <w:tcW w:w="3862" w:type="pct"/>
          </w:tcPr>
          <w:p w:rsidR="002D73ED" w:rsidRDefault="00C037B0" w:rsidP="002D73ED">
            <w:pPr>
              <w:pStyle w:val="ListParagraph"/>
              <w:numPr>
                <w:ilvl w:val="0"/>
                <w:numId w:val="1"/>
              </w:numPr>
              <w:spacing w:before="120"/>
              <w:contextualSpacing w:val="0"/>
            </w:pPr>
            <w:r>
              <w:t>We c</w:t>
            </w:r>
            <w:r w:rsidR="00D2557D">
              <w:t xml:space="preserve">ompleted a review of the </w:t>
            </w:r>
            <w:r>
              <w:t xml:space="preserve">key documents including our </w:t>
            </w:r>
            <w:r w:rsidR="00D2557D">
              <w:t xml:space="preserve">Learning &amp; Development Policy, </w:t>
            </w:r>
            <w:r>
              <w:t xml:space="preserve">a new management competency framework, adopted an apprenticeship strategy, </w:t>
            </w:r>
            <w:r w:rsidR="00D2557D">
              <w:t>and co</w:t>
            </w:r>
            <w:r w:rsidR="002D73ED">
              <w:t>ntinued training and development</w:t>
            </w:r>
            <w:r w:rsidR="00D2557D">
              <w:t xml:space="preserve"> for employees</w:t>
            </w:r>
            <w:r>
              <w:t>.</w:t>
            </w:r>
          </w:p>
          <w:p w:rsidR="005C6CAD" w:rsidRDefault="00D2557D" w:rsidP="00C037B0">
            <w:pPr>
              <w:pStyle w:val="ListParagraph"/>
              <w:numPr>
                <w:ilvl w:val="0"/>
                <w:numId w:val="1"/>
              </w:numPr>
              <w:spacing w:before="120"/>
              <w:contextualSpacing w:val="0"/>
            </w:pPr>
            <w:r>
              <w:t>Development of shared services is helping the Council to build resilience and develop expertise</w:t>
            </w:r>
            <w:r w:rsidR="00C037B0">
              <w:t>.</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t>F</w:t>
            </w:r>
          </w:p>
        </w:tc>
        <w:tc>
          <w:tcPr>
            <w:tcW w:w="926" w:type="pct"/>
            <w:tcBorders>
              <w:top w:val="single" w:sz="4" w:space="0" w:color="auto"/>
              <w:left w:val="nil"/>
              <w:bottom w:val="single" w:sz="4" w:space="0" w:color="auto"/>
            </w:tcBorders>
            <w:shd w:val="clear" w:color="auto" w:fill="B8CCE4" w:themeFill="accent1" w:themeFillTint="66"/>
          </w:tcPr>
          <w:p w:rsidR="002D73ED" w:rsidRPr="00581F63" w:rsidRDefault="002D73ED" w:rsidP="002D73ED">
            <w:pPr>
              <w:spacing w:before="120"/>
            </w:pPr>
            <w:r w:rsidRPr="00581F63">
              <w:t>Manage risk &amp; performance, internal control, finance</w:t>
            </w:r>
          </w:p>
        </w:tc>
        <w:tc>
          <w:tcPr>
            <w:tcW w:w="3862" w:type="pct"/>
          </w:tcPr>
          <w:p w:rsidR="002D73ED" w:rsidRDefault="00FA35C7" w:rsidP="002D73ED">
            <w:pPr>
              <w:pStyle w:val="ListParagraph"/>
              <w:numPr>
                <w:ilvl w:val="0"/>
                <w:numId w:val="1"/>
              </w:numPr>
              <w:spacing w:before="120"/>
              <w:contextualSpacing w:val="0"/>
            </w:pPr>
            <w:r>
              <w:t>The Council is implementing a new Financial Management System</w:t>
            </w:r>
            <w:r w:rsidR="00C037B0">
              <w:t>,</w:t>
            </w:r>
            <w:r>
              <w:t xml:space="preserve"> </w:t>
            </w:r>
            <w:r w:rsidR="00C037B0">
              <w:t xml:space="preserve">to develop resilience and introduce smarter ways of working. </w:t>
            </w:r>
            <w:r w:rsidR="00286EA9">
              <w:t>Further work will be undertaken in 2018/19.</w:t>
            </w:r>
          </w:p>
          <w:p w:rsidR="00FA35C7" w:rsidRDefault="00081D07" w:rsidP="00C037B0">
            <w:pPr>
              <w:pStyle w:val="ListParagraph"/>
              <w:numPr>
                <w:ilvl w:val="0"/>
                <w:numId w:val="1"/>
              </w:numPr>
              <w:spacing w:before="120"/>
              <w:contextualSpacing w:val="0"/>
            </w:pPr>
            <w:r>
              <w:t xml:space="preserve">A </w:t>
            </w:r>
            <w:r w:rsidR="00C037B0">
              <w:t>Quality Assurance and Improvement Program, of compliance t</w:t>
            </w:r>
            <w:r>
              <w:t xml:space="preserve">o </w:t>
            </w:r>
            <w:r w:rsidR="00C037B0">
              <w:t xml:space="preserve">the </w:t>
            </w:r>
            <w:r>
              <w:t>Public Sector Internal Audit Standards</w:t>
            </w:r>
            <w:r w:rsidR="00C037B0">
              <w:t>,</w:t>
            </w:r>
            <w:r>
              <w:t xml:space="preserve"> was completed</w:t>
            </w:r>
            <w:r w:rsidR="00C037B0">
              <w:t xml:space="preserve"> as good practice</w:t>
            </w:r>
            <w:r>
              <w:t>.</w:t>
            </w:r>
          </w:p>
        </w:tc>
      </w:tr>
      <w:tr w:rsidR="002D73ED" w:rsidTr="00B84C06">
        <w:tc>
          <w:tcPr>
            <w:tcW w:w="212" w:type="pct"/>
            <w:tcBorders>
              <w:top w:val="single" w:sz="4" w:space="0" w:color="auto"/>
              <w:bottom w:val="single" w:sz="4" w:space="0" w:color="auto"/>
              <w:right w:val="nil"/>
            </w:tcBorders>
            <w:shd w:val="clear" w:color="auto" w:fill="B8CCE4" w:themeFill="accent1" w:themeFillTint="66"/>
          </w:tcPr>
          <w:p w:rsidR="002D73ED" w:rsidRDefault="002D73ED" w:rsidP="002D73ED">
            <w:pPr>
              <w:spacing w:before="120"/>
            </w:pPr>
            <w:r>
              <w:t>G</w:t>
            </w:r>
          </w:p>
        </w:tc>
        <w:tc>
          <w:tcPr>
            <w:tcW w:w="926" w:type="pct"/>
            <w:tcBorders>
              <w:top w:val="single" w:sz="4" w:space="0" w:color="auto"/>
              <w:left w:val="nil"/>
              <w:bottom w:val="single" w:sz="4" w:space="0" w:color="auto"/>
            </w:tcBorders>
            <w:shd w:val="clear" w:color="auto" w:fill="B8CCE4" w:themeFill="accent1" w:themeFillTint="66"/>
          </w:tcPr>
          <w:p w:rsidR="002D73ED" w:rsidRDefault="002D73ED" w:rsidP="002D73ED">
            <w:pPr>
              <w:spacing w:before="120"/>
            </w:pPr>
            <w:r w:rsidRPr="00581F63">
              <w:t>Transparency, reporting, audit, accountability</w:t>
            </w:r>
          </w:p>
        </w:tc>
        <w:tc>
          <w:tcPr>
            <w:tcW w:w="3862" w:type="pct"/>
          </w:tcPr>
          <w:p w:rsidR="002D73ED" w:rsidRDefault="00B65A84" w:rsidP="002D73ED">
            <w:pPr>
              <w:pStyle w:val="ListParagraph"/>
              <w:numPr>
                <w:ilvl w:val="0"/>
                <w:numId w:val="1"/>
              </w:numPr>
              <w:spacing w:before="120"/>
              <w:contextualSpacing w:val="0"/>
            </w:pPr>
            <w:r>
              <w:t xml:space="preserve">The </w:t>
            </w:r>
            <w:r w:rsidR="00C037B0">
              <w:t xml:space="preserve">revised </w:t>
            </w:r>
            <w:r>
              <w:t xml:space="preserve">Corporate </w:t>
            </w:r>
            <w:r w:rsidR="00C037B0">
              <w:t>P</w:t>
            </w:r>
            <w:r>
              <w:t xml:space="preserve">lan was designed to be more </w:t>
            </w:r>
            <w:r w:rsidR="00C037B0">
              <w:t xml:space="preserve">accessible </w:t>
            </w:r>
            <w:r>
              <w:t>and easier to read.</w:t>
            </w:r>
          </w:p>
          <w:p w:rsidR="00C037B0" w:rsidRDefault="00C037B0" w:rsidP="00C037B0">
            <w:pPr>
              <w:pStyle w:val="ListParagraph"/>
              <w:numPr>
                <w:ilvl w:val="0"/>
                <w:numId w:val="1"/>
              </w:numPr>
              <w:spacing w:before="120"/>
              <w:contextualSpacing w:val="0"/>
            </w:pPr>
            <w:r>
              <w:t>The Council received an u</w:t>
            </w:r>
            <w:r w:rsidR="000E5C60">
              <w:t>nqualified opinion on the statement of accounts</w:t>
            </w:r>
            <w:r>
              <w:t xml:space="preserve">. </w:t>
            </w:r>
          </w:p>
          <w:p w:rsidR="000E5C60" w:rsidRDefault="00C037B0" w:rsidP="00C037B0">
            <w:pPr>
              <w:pStyle w:val="ListParagraph"/>
              <w:numPr>
                <w:ilvl w:val="0"/>
                <w:numId w:val="1"/>
              </w:numPr>
              <w:spacing w:before="120"/>
              <w:contextualSpacing w:val="0"/>
            </w:pPr>
            <w:r>
              <w:t>The website has been refreshed to make information more accessible to customers and there has been an increase in the use of e-forms.</w:t>
            </w:r>
          </w:p>
        </w:tc>
      </w:tr>
    </w:tbl>
    <w:p w:rsidR="00F7097F" w:rsidRDefault="00F7097F" w:rsidP="00054ECE"/>
    <w:p w:rsidR="00F7097F" w:rsidRDefault="00F7097F" w:rsidP="00F7097F">
      <w:pPr>
        <w:sectPr w:rsidR="00F7097F" w:rsidSect="002D73ED">
          <w:pgSz w:w="16838" w:h="11906" w:orient="landscape"/>
          <w:pgMar w:top="1440" w:right="1440" w:bottom="1440" w:left="1440" w:header="708" w:footer="708" w:gutter="0"/>
          <w:cols w:space="708"/>
          <w:docGrid w:linePitch="360"/>
        </w:sectPr>
      </w:pPr>
    </w:p>
    <w:p w:rsidR="0019344B" w:rsidRDefault="002D73ED" w:rsidP="0019344B">
      <w:pPr>
        <w:pStyle w:val="Heading2"/>
      </w:pPr>
      <w:r>
        <w:lastRenderedPageBreak/>
        <w:t>Action plan</w:t>
      </w:r>
    </w:p>
    <w:p w:rsidR="00785A66" w:rsidRDefault="008B1DBB" w:rsidP="0076186F">
      <w:pPr>
        <w:pStyle w:val="AGSBodyText"/>
      </w:pPr>
      <w:r w:rsidRPr="008B1DBB">
        <w:t xml:space="preserve">The arrangements continue to be regarded as fit for purpose in accordance with the governance framework. </w:t>
      </w:r>
    </w:p>
    <w:p w:rsidR="00654557" w:rsidRDefault="0076186F" w:rsidP="0076186F">
      <w:pPr>
        <w:pStyle w:val="AGSBodyText"/>
      </w:pPr>
      <w:r>
        <w:t xml:space="preserve">The review process has helped us to identify some opportunities to improve the governance arrangements over the next twelve months. Some of these may feature in previous statements where the work is ongoing. </w:t>
      </w:r>
      <w:r w:rsidR="0082506D">
        <w:t xml:space="preserve">They </w:t>
      </w:r>
      <w:r w:rsidR="0082506D" w:rsidRPr="0082506D">
        <w:t xml:space="preserve">address both significant governance issues that have arisen during 2017/18, </w:t>
      </w:r>
      <w:r w:rsidR="0082506D">
        <w:t xml:space="preserve">and </w:t>
      </w:r>
      <w:r w:rsidR="0082506D" w:rsidRPr="0082506D">
        <w:t>also forward looking matters identified for 2018/19.</w:t>
      </w:r>
      <w:r w:rsidR="00B946B2">
        <w:t xml:space="preserve"> These actions are capture</w:t>
      </w:r>
      <w:r w:rsidR="00C037B0">
        <w:t>d</w:t>
      </w:r>
      <w:r w:rsidR="00B946B2">
        <w:t xml:space="preserve"> in existing corporate plans and strategies.</w:t>
      </w:r>
    </w:p>
    <w:p w:rsidR="00B946B2" w:rsidRPr="00654557" w:rsidRDefault="00B946B2" w:rsidP="0076186F">
      <w:pPr>
        <w:pStyle w:val="AGSBodyText"/>
      </w:pPr>
    </w:p>
    <w:tbl>
      <w:tblPr>
        <w:tblStyle w:val="TableGrid"/>
        <w:tblW w:w="5000" w:type="pct"/>
        <w:tblBorders>
          <w:left w:val="none" w:sz="0" w:space="0" w:color="auto"/>
          <w:right w:val="none" w:sz="0" w:space="0" w:color="auto"/>
        </w:tblBorders>
        <w:tblCellMar>
          <w:top w:w="57" w:type="dxa"/>
          <w:bottom w:w="57" w:type="dxa"/>
        </w:tblCellMar>
        <w:tblLook w:val="04A0" w:firstRow="1" w:lastRow="0" w:firstColumn="1" w:lastColumn="0" w:noHBand="0" w:noVBand="1"/>
      </w:tblPr>
      <w:tblGrid>
        <w:gridCol w:w="2685"/>
        <w:gridCol w:w="8762"/>
        <w:gridCol w:w="2727"/>
      </w:tblGrid>
      <w:tr w:rsidR="004A3CBB" w:rsidTr="008B1DBB">
        <w:trPr>
          <w:cantSplit/>
          <w:tblHeader/>
        </w:trPr>
        <w:tc>
          <w:tcPr>
            <w:tcW w:w="947" w:type="pct"/>
            <w:shd w:val="clear" w:color="auto" w:fill="548DD4" w:themeFill="text2" w:themeFillTint="99"/>
          </w:tcPr>
          <w:p w:rsidR="004A3CBB" w:rsidRDefault="004A3CBB" w:rsidP="004A3CBB">
            <w:pPr>
              <w:spacing w:before="120"/>
            </w:pPr>
            <w:r>
              <w:t>Subject</w:t>
            </w:r>
          </w:p>
        </w:tc>
        <w:tc>
          <w:tcPr>
            <w:tcW w:w="3091" w:type="pct"/>
            <w:shd w:val="clear" w:color="auto" w:fill="548DD4" w:themeFill="text2" w:themeFillTint="99"/>
          </w:tcPr>
          <w:p w:rsidR="004A3CBB" w:rsidRDefault="004A3CBB" w:rsidP="004A3CBB">
            <w:pPr>
              <w:spacing w:before="120"/>
            </w:pPr>
            <w:r>
              <w:t>Actions</w:t>
            </w:r>
          </w:p>
        </w:tc>
        <w:tc>
          <w:tcPr>
            <w:tcW w:w="962" w:type="pct"/>
            <w:shd w:val="clear" w:color="auto" w:fill="548DD4" w:themeFill="text2" w:themeFillTint="99"/>
          </w:tcPr>
          <w:p w:rsidR="004A3CBB" w:rsidRDefault="004A3CBB" w:rsidP="004A3CBB">
            <w:pPr>
              <w:spacing w:before="120"/>
            </w:pPr>
            <w:r>
              <w:t>Responsible Officer</w:t>
            </w:r>
          </w:p>
        </w:tc>
      </w:tr>
      <w:tr w:rsidR="004A3CBB" w:rsidTr="008B1DBB">
        <w:trPr>
          <w:cantSplit/>
        </w:trPr>
        <w:tc>
          <w:tcPr>
            <w:tcW w:w="947" w:type="pct"/>
          </w:tcPr>
          <w:p w:rsidR="004A3CBB" w:rsidRDefault="004A3CBB" w:rsidP="004A3CBB">
            <w:pPr>
              <w:spacing w:before="120"/>
            </w:pPr>
            <w:r>
              <w:t>Review of the constitution</w:t>
            </w:r>
          </w:p>
        </w:tc>
        <w:tc>
          <w:tcPr>
            <w:tcW w:w="3091" w:type="pct"/>
          </w:tcPr>
          <w:p w:rsidR="004A3CBB" w:rsidRDefault="00C037B0" w:rsidP="005967DD">
            <w:pPr>
              <w:spacing w:before="120"/>
              <w:jc w:val="both"/>
            </w:pPr>
            <w:r>
              <w:t>The Council will consider if there are any changes required to Constitution, such as u</w:t>
            </w:r>
            <w:r w:rsidR="004A3CBB">
              <w:t>pdating Committee terms of reference</w:t>
            </w:r>
            <w:r>
              <w:t xml:space="preserve">, and </w:t>
            </w:r>
            <w:r w:rsidR="005967DD">
              <w:t>f</w:t>
            </w:r>
            <w:r w:rsidR="004A3CBB">
              <w:t xml:space="preserve">inancial </w:t>
            </w:r>
            <w:r w:rsidR="005967DD">
              <w:t xml:space="preserve">and procurement </w:t>
            </w:r>
            <w:r w:rsidR="004A3CBB">
              <w:t>authorisation levels</w:t>
            </w:r>
            <w:r w:rsidR="005967DD">
              <w:t>.</w:t>
            </w:r>
          </w:p>
        </w:tc>
        <w:tc>
          <w:tcPr>
            <w:tcW w:w="962" w:type="pct"/>
          </w:tcPr>
          <w:p w:rsidR="004A3CBB" w:rsidRDefault="004A2E80" w:rsidP="004A3CBB">
            <w:pPr>
              <w:spacing w:before="120"/>
            </w:pPr>
            <w:r>
              <w:t xml:space="preserve">Deputy Monitoring Officer </w:t>
            </w:r>
          </w:p>
        </w:tc>
      </w:tr>
      <w:tr w:rsidR="00F10120" w:rsidTr="008B1DBB">
        <w:trPr>
          <w:cantSplit/>
        </w:trPr>
        <w:tc>
          <w:tcPr>
            <w:tcW w:w="947" w:type="pct"/>
          </w:tcPr>
          <w:p w:rsidR="00F10120" w:rsidRDefault="00F10120" w:rsidP="00286EA9">
            <w:pPr>
              <w:spacing w:before="120"/>
            </w:pPr>
            <w:r>
              <w:t>Digital strategy</w:t>
            </w:r>
          </w:p>
        </w:tc>
        <w:tc>
          <w:tcPr>
            <w:tcW w:w="3091" w:type="pct"/>
          </w:tcPr>
          <w:p w:rsidR="00F10120" w:rsidRDefault="00F10120" w:rsidP="00286EA9">
            <w:pPr>
              <w:spacing w:before="120"/>
              <w:jc w:val="both"/>
            </w:pPr>
            <w:r>
              <w:t>Recognising that it can be difficult to engage with customers and stakeholders, the Council is developing a digital strategy to help customers self-serve, whilst preserving appropriate channels for those that require them. Examples include “In Touch Project” to improve digital inclusion with Housing tenants and reviewing our “Community Engagement Strategy”.</w:t>
            </w:r>
          </w:p>
        </w:tc>
        <w:tc>
          <w:tcPr>
            <w:tcW w:w="962" w:type="pct"/>
          </w:tcPr>
          <w:p w:rsidR="00F10120" w:rsidRDefault="00F10120" w:rsidP="007F3E42">
            <w:pPr>
              <w:spacing w:before="120"/>
            </w:pPr>
            <w:r>
              <w:t>Executive Director – Corporate Services and Head of People and Organisational Development</w:t>
            </w:r>
          </w:p>
        </w:tc>
      </w:tr>
      <w:tr w:rsidR="00F10120" w:rsidTr="008B1DBB">
        <w:trPr>
          <w:cantSplit/>
        </w:trPr>
        <w:tc>
          <w:tcPr>
            <w:tcW w:w="947" w:type="pct"/>
          </w:tcPr>
          <w:p w:rsidR="00F10120" w:rsidRDefault="00F10120" w:rsidP="00286EA9">
            <w:pPr>
              <w:spacing w:before="120"/>
            </w:pPr>
            <w:r>
              <w:t>Statement of Accounts</w:t>
            </w:r>
          </w:p>
        </w:tc>
        <w:tc>
          <w:tcPr>
            <w:tcW w:w="3091" w:type="pct"/>
          </w:tcPr>
          <w:p w:rsidR="00F10120" w:rsidRDefault="00F10120" w:rsidP="00585559">
            <w:pPr>
              <w:spacing w:before="120"/>
              <w:jc w:val="both"/>
            </w:pPr>
            <w:r>
              <w:t>The Council accounts for 16/17 were not approved by the deadline. The Council has put in a robust timetable for completion of the 17/18 accounts, as the new timetable for earlier completion takes effect as per the Accounts and Audit Regulations 2015.</w:t>
            </w:r>
          </w:p>
        </w:tc>
        <w:tc>
          <w:tcPr>
            <w:tcW w:w="962" w:type="pct"/>
          </w:tcPr>
          <w:p w:rsidR="00F10120" w:rsidRDefault="00F10120" w:rsidP="00286EA9">
            <w:pPr>
              <w:spacing w:before="120"/>
            </w:pPr>
            <w:r>
              <w:t>Executive Director – Corporate Services and S151 Officer</w:t>
            </w:r>
          </w:p>
        </w:tc>
      </w:tr>
      <w:tr w:rsidR="00F10120" w:rsidTr="008B1DBB">
        <w:trPr>
          <w:cantSplit/>
        </w:trPr>
        <w:tc>
          <w:tcPr>
            <w:tcW w:w="947" w:type="pct"/>
          </w:tcPr>
          <w:p w:rsidR="00F10120" w:rsidRDefault="00F10120" w:rsidP="004A3CBB">
            <w:pPr>
              <w:spacing w:before="120"/>
            </w:pPr>
            <w:r>
              <w:t>Review of anti-fraud and corruption policies</w:t>
            </w:r>
          </w:p>
        </w:tc>
        <w:tc>
          <w:tcPr>
            <w:tcW w:w="3091" w:type="pct"/>
          </w:tcPr>
          <w:p w:rsidR="00F10120" w:rsidRDefault="00F10120" w:rsidP="005967DD">
            <w:pPr>
              <w:spacing w:before="120"/>
              <w:jc w:val="both"/>
            </w:pPr>
            <w:r>
              <w:t>The Council completes a continuous review of its counter fraud arrangements based on good practice. Policies will be reviewed to see if any improvements can be adopted.</w:t>
            </w:r>
          </w:p>
        </w:tc>
        <w:tc>
          <w:tcPr>
            <w:tcW w:w="962" w:type="pct"/>
          </w:tcPr>
          <w:p w:rsidR="00F10120" w:rsidRDefault="00F10120" w:rsidP="004A3CBB">
            <w:pPr>
              <w:spacing w:before="120"/>
            </w:pPr>
            <w:r>
              <w:t>Head of Internal Audit</w:t>
            </w:r>
          </w:p>
        </w:tc>
      </w:tr>
      <w:tr w:rsidR="00F10120" w:rsidTr="008B1DBB">
        <w:trPr>
          <w:cantSplit/>
        </w:trPr>
        <w:tc>
          <w:tcPr>
            <w:tcW w:w="947" w:type="pct"/>
          </w:tcPr>
          <w:p w:rsidR="00F10120" w:rsidRDefault="00F10120" w:rsidP="00286EA9">
            <w:pPr>
              <w:spacing w:before="120"/>
            </w:pPr>
            <w:r>
              <w:t>Financial Management System</w:t>
            </w:r>
          </w:p>
        </w:tc>
        <w:tc>
          <w:tcPr>
            <w:tcW w:w="3091" w:type="pct"/>
          </w:tcPr>
          <w:p w:rsidR="00F10120" w:rsidRDefault="00F10120" w:rsidP="005C0FC9">
            <w:pPr>
              <w:spacing w:before="120"/>
              <w:jc w:val="both"/>
            </w:pPr>
            <w:r>
              <w:t>The Council ha</w:t>
            </w:r>
            <w:r w:rsidRPr="00286EA9">
              <w:t xml:space="preserve">s implementing a new Financial Management System, to develop resilience and introduce smarter ways of working. </w:t>
            </w:r>
            <w:r>
              <w:t>The project timescale has been extended and f</w:t>
            </w:r>
            <w:r w:rsidRPr="00286EA9">
              <w:t>urther work will be undertaken in 2018/19.</w:t>
            </w:r>
            <w:r>
              <w:t xml:space="preserve"> A new internal project team has been appointed to help deliver implementation to a revised go-live date.</w:t>
            </w:r>
          </w:p>
        </w:tc>
        <w:tc>
          <w:tcPr>
            <w:tcW w:w="962" w:type="pct"/>
          </w:tcPr>
          <w:p w:rsidR="00F10120" w:rsidRDefault="00F10120" w:rsidP="00286EA9">
            <w:pPr>
              <w:spacing w:before="120"/>
            </w:pPr>
            <w:r>
              <w:t xml:space="preserve">Executive Director – Corporate Services &amp; Head of Finance </w:t>
            </w:r>
          </w:p>
        </w:tc>
      </w:tr>
      <w:tr w:rsidR="00F10120" w:rsidTr="008B1DBB">
        <w:trPr>
          <w:cantSplit/>
        </w:trPr>
        <w:tc>
          <w:tcPr>
            <w:tcW w:w="947" w:type="pct"/>
          </w:tcPr>
          <w:p w:rsidR="00F10120" w:rsidRDefault="00F10120" w:rsidP="004A3CBB">
            <w:pPr>
              <w:spacing w:before="120"/>
            </w:pPr>
            <w:r>
              <w:lastRenderedPageBreak/>
              <w:t>Equality Impact Assessments</w:t>
            </w:r>
          </w:p>
        </w:tc>
        <w:tc>
          <w:tcPr>
            <w:tcW w:w="3091" w:type="pct"/>
          </w:tcPr>
          <w:p w:rsidR="00F10120" w:rsidRDefault="00F10120" w:rsidP="005C0FC9">
            <w:pPr>
              <w:spacing w:before="120"/>
              <w:jc w:val="both"/>
            </w:pPr>
            <w:r>
              <w:t>The Council is committed to ensuring that we comply with relevant equalities legislation. A project group will take forward the recommendations from a previous “Action Learning Set” to refresh the scheme and promote Equality Impact Assessments.</w:t>
            </w:r>
          </w:p>
        </w:tc>
        <w:tc>
          <w:tcPr>
            <w:tcW w:w="962" w:type="pct"/>
          </w:tcPr>
          <w:p w:rsidR="00F10120" w:rsidRDefault="00F10120" w:rsidP="00286EA9">
            <w:pPr>
              <w:spacing w:before="120"/>
            </w:pPr>
            <w:r>
              <w:t>Policy &amp; Performance Manager</w:t>
            </w:r>
          </w:p>
        </w:tc>
      </w:tr>
      <w:tr w:rsidR="00F10120" w:rsidTr="008B1DBB">
        <w:trPr>
          <w:cantSplit/>
        </w:trPr>
        <w:tc>
          <w:tcPr>
            <w:tcW w:w="947" w:type="pct"/>
          </w:tcPr>
          <w:p w:rsidR="00F10120" w:rsidRDefault="00F10120" w:rsidP="00D41A29">
            <w:pPr>
              <w:spacing w:before="120"/>
            </w:pPr>
            <w:r>
              <w:t>Organisational Development Strategy</w:t>
            </w:r>
          </w:p>
        </w:tc>
        <w:tc>
          <w:tcPr>
            <w:tcW w:w="3091" w:type="pct"/>
          </w:tcPr>
          <w:p w:rsidR="00F10120" w:rsidRDefault="00F10120" w:rsidP="005C0FC9">
            <w:pPr>
              <w:spacing w:before="120"/>
              <w:jc w:val="both"/>
            </w:pPr>
            <w:r>
              <w:t>The Council will complete a review of the Organisational Development Strategy, which will help to improve recruitment and retention of employees.</w:t>
            </w:r>
          </w:p>
        </w:tc>
        <w:tc>
          <w:tcPr>
            <w:tcW w:w="962" w:type="pct"/>
          </w:tcPr>
          <w:p w:rsidR="00F10120" w:rsidRDefault="00F10120" w:rsidP="004A3CBB">
            <w:pPr>
              <w:spacing w:before="120"/>
            </w:pPr>
            <w:r>
              <w:t>Head of People and Organisational Development</w:t>
            </w:r>
          </w:p>
        </w:tc>
      </w:tr>
      <w:tr w:rsidR="00F10120" w:rsidTr="00585559">
        <w:trPr>
          <w:cantSplit/>
        </w:trPr>
        <w:tc>
          <w:tcPr>
            <w:tcW w:w="947" w:type="pct"/>
          </w:tcPr>
          <w:p w:rsidR="00F10120" w:rsidRDefault="00F10120" w:rsidP="00585559">
            <w:pPr>
              <w:spacing w:before="120"/>
            </w:pPr>
            <w:r>
              <w:t xml:space="preserve">Complaints management </w:t>
            </w:r>
          </w:p>
        </w:tc>
        <w:tc>
          <w:tcPr>
            <w:tcW w:w="3091" w:type="pct"/>
          </w:tcPr>
          <w:p w:rsidR="00F10120" w:rsidRDefault="00F10120" w:rsidP="00585559">
            <w:pPr>
              <w:spacing w:before="120"/>
              <w:jc w:val="both"/>
            </w:pPr>
            <w:r>
              <w:t xml:space="preserve">The Council has a process for responding to complaints. A project is being implemented to help improve our quality and timeliness of complaints handling. </w:t>
            </w:r>
          </w:p>
        </w:tc>
        <w:tc>
          <w:tcPr>
            <w:tcW w:w="962" w:type="pct"/>
          </w:tcPr>
          <w:p w:rsidR="00F10120" w:rsidRDefault="00F10120" w:rsidP="00585559">
            <w:pPr>
              <w:spacing w:before="120"/>
            </w:pPr>
            <w:r>
              <w:t>Head of People and Organisational Development</w:t>
            </w:r>
          </w:p>
        </w:tc>
      </w:tr>
      <w:tr w:rsidR="00F10120" w:rsidTr="00585559">
        <w:trPr>
          <w:cantSplit/>
        </w:trPr>
        <w:tc>
          <w:tcPr>
            <w:tcW w:w="947" w:type="pct"/>
          </w:tcPr>
          <w:p w:rsidR="00F10120" w:rsidRDefault="00F10120" w:rsidP="00585559">
            <w:pPr>
              <w:spacing w:before="120"/>
            </w:pPr>
            <w:r>
              <w:t>Environment</w:t>
            </w:r>
          </w:p>
        </w:tc>
        <w:tc>
          <w:tcPr>
            <w:tcW w:w="3091" w:type="pct"/>
          </w:tcPr>
          <w:p w:rsidR="00F10120" w:rsidRDefault="00F10120" w:rsidP="00585559">
            <w:pPr>
              <w:spacing w:before="120"/>
              <w:jc w:val="both"/>
            </w:pPr>
            <w:r>
              <w:t>The Council is developing a new Air Quality Strategy, which will help to enhance the environment and inform environmental planning.</w:t>
            </w:r>
          </w:p>
        </w:tc>
        <w:tc>
          <w:tcPr>
            <w:tcW w:w="962" w:type="pct"/>
          </w:tcPr>
          <w:p w:rsidR="00F10120" w:rsidRDefault="00F10120" w:rsidP="00585559">
            <w:pPr>
              <w:spacing w:before="120"/>
            </w:pPr>
            <w:r>
              <w:t>Head of Service, Environmental Commissioning</w:t>
            </w:r>
          </w:p>
        </w:tc>
      </w:tr>
      <w:tr w:rsidR="00F10120" w:rsidTr="008B1DBB">
        <w:trPr>
          <w:cantSplit/>
        </w:trPr>
        <w:tc>
          <w:tcPr>
            <w:tcW w:w="947" w:type="pct"/>
          </w:tcPr>
          <w:p w:rsidR="00F10120" w:rsidRDefault="00F10120" w:rsidP="009F3D07">
            <w:pPr>
              <w:spacing w:before="120"/>
            </w:pPr>
            <w:r>
              <w:t>Risk management review</w:t>
            </w:r>
          </w:p>
        </w:tc>
        <w:tc>
          <w:tcPr>
            <w:tcW w:w="3091" w:type="pct"/>
          </w:tcPr>
          <w:p w:rsidR="00F10120" w:rsidRDefault="00F10120" w:rsidP="005967DD">
            <w:pPr>
              <w:spacing w:before="120"/>
              <w:jc w:val="both"/>
            </w:pPr>
            <w:r>
              <w:t>The Council has completed a review of the risk management framework and is currently refreshing its strategic risk register. This will help ensure risk identification is aligned to the Corporate Plan, and resources for further mitigation are effectively allocated.</w:t>
            </w:r>
          </w:p>
        </w:tc>
        <w:tc>
          <w:tcPr>
            <w:tcW w:w="962" w:type="pct"/>
          </w:tcPr>
          <w:p w:rsidR="00F10120" w:rsidRDefault="00F10120" w:rsidP="009F3D07">
            <w:pPr>
              <w:spacing w:before="120"/>
            </w:pPr>
            <w:r>
              <w:t>Executive Director – Corporate Services &amp; Risk Management Group</w:t>
            </w:r>
          </w:p>
        </w:tc>
      </w:tr>
    </w:tbl>
    <w:p w:rsidR="00654557" w:rsidRDefault="00654557" w:rsidP="00654557"/>
    <w:p w:rsidR="007E0026" w:rsidRDefault="007E0026" w:rsidP="00654557">
      <w:pPr>
        <w:sectPr w:rsidR="007E0026" w:rsidSect="00F7097F">
          <w:pgSz w:w="16838" w:h="11906" w:orient="landscape"/>
          <w:pgMar w:top="1440" w:right="1440" w:bottom="1440" w:left="1440" w:header="708" w:footer="708" w:gutter="0"/>
          <w:cols w:space="708"/>
          <w:docGrid w:linePitch="360"/>
        </w:sectPr>
      </w:pPr>
    </w:p>
    <w:p w:rsidR="007E0026" w:rsidRPr="00654557" w:rsidRDefault="007E0026" w:rsidP="00654557"/>
    <w:p w:rsidR="0019344B" w:rsidRDefault="008B1DBB" w:rsidP="0019344B">
      <w:pPr>
        <w:pStyle w:val="Heading2"/>
      </w:pPr>
      <w:r>
        <w:t>Conclusion</w:t>
      </w:r>
    </w:p>
    <w:p w:rsidR="005153F6" w:rsidRDefault="005153F6" w:rsidP="007E0026">
      <w:pPr>
        <w:pStyle w:val="AGSBodyText"/>
      </w:pPr>
    </w:p>
    <w:p w:rsidR="007E0026" w:rsidRDefault="007E0026" w:rsidP="007E0026">
      <w:pPr>
        <w:pStyle w:val="AGSBodyText"/>
      </w:pPr>
      <w:r>
        <w:t>The Council has in place strong governance arrangements which we are confident protect its interests and provide necessary assurances to our citizens and stakeholders.</w:t>
      </w:r>
    </w:p>
    <w:p w:rsidR="007E0026" w:rsidRPr="00D77A56" w:rsidRDefault="007E0026" w:rsidP="007E0026">
      <w:pPr>
        <w:pStyle w:val="AGSBodyText"/>
      </w:pPr>
      <w:r>
        <w:t>We are satisfied that the</w:t>
      </w:r>
      <w:r w:rsidR="00FB5126">
        <w:t xml:space="preserve"> planned actions </w:t>
      </w:r>
      <w:r>
        <w:t xml:space="preserve">will </w:t>
      </w:r>
      <w:r w:rsidR="00FB5126">
        <w:t xml:space="preserve">improve our governance arrangements, </w:t>
      </w:r>
      <w:r>
        <w:t xml:space="preserve">identified </w:t>
      </w:r>
      <w:r w:rsidR="00FB5126">
        <w:t xml:space="preserve">from </w:t>
      </w:r>
      <w:r>
        <w:t>our review of effectiveness</w:t>
      </w:r>
      <w:r w:rsidR="00FB5126">
        <w:t xml:space="preserve">. We </w:t>
      </w:r>
      <w:r>
        <w:t xml:space="preserve">will monitor their implementation and operation </w:t>
      </w:r>
      <w:r w:rsidR="00FB5126">
        <w:t xml:space="preserve">throughout the year and report their progress </w:t>
      </w:r>
      <w:r>
        <w:t>as part of our next annual review.</w:t>
      </w:r>
    </w:p>
    <w:p w:rsidR="007E0026" w:rsidRPr="00D77A56" w:rsidRDefault="007E0026" w:rsidP="007E0026"/>
    <w:p w:rsidR="007E0026" w:rsidRPr="0076186F" w:rsidRDefault="007E0026" w:rsidP="0076186F"/>
    <w:p w:rsidR="0019344B" w:rsidRPr="0019344B" w:rsidRDefault="0019344B" w:rsidP="0019344B"/>
    <w:sectPr w:rsidR="0019344B" w:rsidRPr="0019344B" w:rsidSect="007E00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5F" w:rsidRDefault="00452A5F" w:rsidP="00723313">
      <w:pPr>
        <w:spacing w:after="0" w:line="240" w:lineRule="auto"/>
      </w:pPr>
      <w:r>
        <w:separator/>
      </w:r>
    </w:p>
  </w:endnote>
  <w:endnote w:type="continuationSeparator" w:id="0">
    <w:p w:rsidR="00452A5F" w:rsidRDefault="00452A5F" w:rsidP="007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F9" w:rsidRDefault="00365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F9" w:rsidRDefault="00365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F9" w:rsidRDefault="0036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5F" w:rsidRDefault="00452A5F" w:rsidP="00723313">
      <w:pPr>
        <w:spacing w:after="0" w:line="240" w:lineRule="auto"/>
      </w:pPr>
      <w:r>
        <w:separator/>
      </w:r>
    </w:p>
  </w:footnote>
  <w:footnote w:type="continuationSeparator" w:id="0">
    <w:p w:rsidR="00452A5F" w:rsidRDefault="00452A5F" w:rsidP="00723313">
      <w:pPr>
        <w:spacing w:after="0" w:line="240" w:lineRule="auto"/>
      </w:pPr>
      <w:r>
        <w:continuationSeparator/>
      </w:r>
    </w:p>
  </w:footnote>
  <w:footnote w:id="1">
    <w:p w:rsidR="003652F9" w:rsidRDefault="003652F9">
      <w:pPr>
        <w:pStyle w:val="FootnoteText"/>
      </w:pPr>
      <w:r>
        <w:rPr>
          <w:rStyle w:val="FootnoteReference"/>
        </w:rPr>
        <w:footnoteRef/>
      </w:r>
      <w:r>
        <w:t xml:space="preserve"> </w:t>
      </w:r>
      <w:hyperlink r:id="rId1" w:history="1">
        <w:r w:rsidRPr="00BC2695">
          <w:rPr>
            <w:rStyle w:val="Hyperlink"/>
          </w:rPr>
          <w:t>https://www.scambs.gov.uk/council-aims-and-objectives</w:t>
        </w:r>
      </w:hyperlink>
    </w:p>
  </w:footnote>
  <w:footnote w:id="2">
    <w:p w:rsidR="003652F9" w:rsidRDefault="003652F9">
      <w:pPr>
        <w:pStyle w:val="FootnoteText"/>
      </w:pPr>
      <w:r>
        <w:rPr>
          <w:rStyle w:val="FootnoteReference"/>
        </w:rPr>
        <w:footnoteRef/>
      </w:r>
      <w:r>
        <w:t xml:space="preserve"> </w:t>
      </w:r>
      <w:hyperlink r:id="rId2" w:history="1">
        <w:r w:rsidRPr="00BC2695">
          <w:rPr>
            <w:rStyle w:val="Hyperlink"/>
          </w:rPr>
          <w:t>https://www.scambs.gov.uk/sites/default/files/final_delivery_plan_adopted_by_council.pdf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F9" w:rsidRDefault="00365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92158"/>
      <w:docPartObj>
        <w:docPartGallery w:val="Watermarks"/>
        <w:docPartUnique/>
      </w:docPartObj>
    </w:sdtPr>
    <w:sdtEndPr/>
    <w:sdtContent>
      <w:p w:rsidR="003652F9" w:rsidRDefault="00452A5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F9" w:rsidRDefault="0036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17F"/>
    <w:multiLevelType w:val="hybridMultilevel"/>
    <w:tmpl w:val="09DC8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56D26"/>
    <w:multiLevelType w:val="hybridMultilevel"/>
    <w:tmpl w:val="1EB0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512E7"/>
    <w:multiLevelType w:val="hybridMultilevel"/>
    <w:tmpl w:val="AF8E6D50"/>
    <w:lvl w:ilvl="0" w:tplc="73B45D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3B30FE"/>
    <w:multiLevelType w:val="hybridMultilevel"/>
    <w:tmpl w:val="5AEA5E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547D53"/>
    <w:multiLevelType w:val="hybridMultilevel"/>
    <w:tmpl w:val="3FE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4B"/>
    <w:rsid w:val="00054ECE"/>
    <w:rsid w:val="00081D07"/>
    <w:rsid w:val="00082D2F"/>
    <w:rsid w:val="000C13AA"/>
    <w:rsid w:val="000E5C60"/>
    <w:rsid w:val="000F4158"/>
    <w:rsid w:val="00110DAB"/>
    <w:rsid w:val="00124335"/>
    <w:rsid w:val="00162F42"/>
    <w:rsid w:val="0019344B"/>
    <w:rsid w:val="0019345B"/>
    <w:rsid w:val="001F3D9A"/>
    <w:rsid w:val="00207722"/>
    <w:rsid w:val="00223423"/>
    <w:rsid w:val="00254584"/>
    <w:rsid w:val="00286EA9"/>
    <w:rsid w:val="002D73ED"/>
    <w:rsid w:val="00333352"/>
    <w:rsid w:val="00353EBF"/>
    <w:rsid w:val="003652F9"/>
    <w:rsid w:val="003E2783"/>
    <w:rsid w:val="00452A5F"/>
    <w:rsid w:val="004A2E80"/>
    <w:rsid w:val="004A3CBB"/>
    <w:rsid w:val="004C5BB9"/>
    <w:rsid w:val="005153F6"/>
    <w:rsid w:val="00582E97"/>
    <w:rsid w:val="00585559"/>
    <w:rsid w:val="005967DD"/>
    <w:rsid w:val="005C0FC9"/>
    <w:rsid w:val="005C6CAD"/>
    <w:rsid w:val="00654557"/>
    <w:rsid w:val="00676A6C"/>
    <w:rsid w:val="006C2E47"/>
    <w:rsid w:val="00723313"/>
    <w:rsid w:val="00740557"/>
    <w:rsid w:val="0076186F"/>
    <w:rsid w:val="007801C7"/>
    <w:rsid w:val="00785A66"/>
    <w:rsid w:val="007E0026"/>
    <w:rsid w:val="0081088D"/>
    <w:rsid w:val="0082506D"/>
    <w:rsid w:val="008338AC"/>
    <w:rsid w:val="00835AAF"/>
    <w:rsid w:val="008B1DBB"/>
    <w:rsid w:val="008D2999"/>
    <w:rsid w:val="009278B0"/>
    <w:rsid w:val="00996E8F"/>
    <w:rsid w:val="009D4636"/>
    <w:rsid w:val="009E5850"/>
    <w:rsid w:val="009F3D07"/>
    <w:rsid w:val="00A14A17"/>
    <w:rsid w:val="00A90A9A"/>
    <w:rsid w:val="00AD4FBE"/>
    <w:rsid w:val="00B65A84"/>
    <w:rsid w:val="00B74B24"/>
    <w:rsid w:val="00B84C06"/>
    <w:rsid w:val="00B946B2"/>
    <w:rsid w:val="00C037B0"/>
    <w:rsid w:val="00C371BC"/>
    <w:rsid w:val="00C6575B"/>
    <w:rsid w:val="00C74759"/>
    <w:rsid w:val="00D04A12"/>
    <w:rsid w:val="00D2557D"/>
    <w:rsid w:val="00D41A29"/>
    <w:rsid w:val="00D714DC"/>
    <w:rsid w:val="00E4590D"/>
    <w:rsid w:val="00E822DC"/>
    <w:rsid w:val="00E9540E"/>
    <w:rsid w:val="00F10120"/>
    <w:rsid w:val="00F15DAE"/>
    <w:rsid w:val="00F7097F"/>
    <w:rsid w:val="00FA35C7"/>
    <w:rsid w:val="00FB5126"/>
    <w:rsid w:val="00FE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A6C"/>
    <w:pPr>
      <w:keepNext/>
      <w:keepLines/>
      <w:spacing w:before="24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E2783"/>
    <w:pPr>
      <w:keepNext/>
      <w:keepLines/>
      <w:pBdr>
        <w:bottom w:val="single" w:sz="4" w:space="1" w:color="auto"/>
      </w:pBdr>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E2783"/>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table" w:styleId="TableGrid">
    <w:name w:val="Table Grid"/>
    <w:basedOn w:val="TableNormal"/>
    <w:uiPriority w:val="59"/>
    <w:rsid w:val="0005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ECE"/>
    <w:pPr>
      <w:ind w:left="720"/>
      <w:contextualSpacing/>
    </w:pPr>
  </w:style>
  <w:style w:type="paragraph" w:styleId="BalloonText">
    <w:name w:val="Balloon Text"/>
    <w:basedOn w:val="Normal"/>
    <w:link w:val="BalloonTextChar"/>
    <w:uiPriority w:val="99"/>
    <w:semiHidden/>
    <w:unhideWhenUsed/>
    <w:rsid w:val="0081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8D"/>
    <w:rPr>
      <w:rFonts w:ascii="Tahoma" w:hAnsi="Tahoma" w:cs="Tahoma"/>
      <w:sz w:val="16"/>
      <w:szCs w:val="16"/>
    </w:rPr>
  </w:style>
  <w:style w:type="paragraph" w:customStyle="1" w:styleId="AGSBodyText">
    <w:name w:val="AGS Body Text"/>
    <w:basedOn w:val="Normal"/>
    <w:qFormat/>
    <w:rsid w:val="00C6575B"/>
    <w:pPr>
      <w:spacing w:before="120" w:after="0"/>
      <w:jc w:val="both"/>
    </w:pPr>
  </w:style>
  <w:style w:type="character" w:styleId="Hyperlink">
    <w:name w:val="Hyperlink"/>
    <w:basedOn w:val="DefaultParagraphFont"/>
    <w:uiPriority w:val="99"/>
    <w:unhideWhenUsed/>
    <w:rsid w:val="0076186F"/>
    <w:rPr>
      <w:color w:val="0000FF" w:themeColor="hyperlink"/>
      <w:u w:val="single"/>
    </w:rPr>
  </w:style>
  <w:style w:type="character" w:styleId="FollowedHyperlink">
    <w:name w:val="FollowedHyperlink"/>
    <w:basedOn w:val="DefaultParagraphFont"/>
    <w:uiPriority w:val="99"/>
    <w:semiHidden/>
    <w:unhideWhenUsed/>
    <w:rsid w:val="009F3D07"/>
    <w:rPr>
      <w:color w:val="800080" w:themeColor="followedHyperlink"/>
      <w:u w:val="single"/>
    </w:rPr>
  </w:style>
  <w:style w:type="paragraph" w:styleId="FootnoteText">
    <w:name w:val="footnote text"/>
    <w:basedOn w:val="Normal"/>
    <w:link w:val="FootnoteTextChar"/>
    <w:uiPriority w:val="99"/>
    <w:semiHidden/>
    <w:unhideWhenUsed/>
    <w:rsid w:val="00723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313"/>
    <w:rPr>
      <w:sz w:val="20"/>
      <w:szCs w:val="20"/>
    </w:rPr>
  </w:style>
  <w:style w:type="character" w:styleId="FootnoteReference">
    <w:name w:val="footnote reference"/>
    <w:basedOn w:val="DefaultParagraphFont"/>
    <w:uiPriority w:val="99"/>
    <w:semiHidden/>
    <w:unhideWhenUsed/>
    <w:rsid w:val="00723313"/>
    <w:rPr>
      <w:vertAlign w:val="superscript"/>
    </w:rPr>
  </w:style>
  <w:style w:type="paragraph" w:styleId="Header">
    <w:name w:val="header"/>
    <w:basedOn w:val="Normal"/>
    <w:link w:val="HeaderChar"/>
    <w:uiPriority w:val="99"/>
    <w:unhideWhenUsed/>
    <w:rsid w:val="008B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BB"/>
  </w:style>
  <w:style w:type="paragraph" w:styleId="Footer">
    <w:name w:val="footer"/>
    <w:basedOn w:val="Normal"/>
    <w:link w:val="FooterChar"/>
    <w:uiPriority w:val="99"/>
    <w:unhideWhenUsed/>
    <w:rsid w:val="008B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A6C"/>
    <w:pPr>
      <w:keepNext/>
      <w:keepLines/>
      <w:spacing w:before="24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3E2783"/>
    <w:pPr>
      <w:keepNext/>
      <w:keepLines/>
      <w:pBdr>
        <w:bottom w:val="single" w:sz="4" w:space="1" w:color="auto"/>
      </w:pBdr>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E2783"/>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table" w:styleId="TableGrid">
    <w:name w:val="Table Grid"/>
    <w:basedOn w:val="TableNormal"/>
    <w:uiPriority w:val="59"/>
    <w:rsid w:val="0005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ECE"/>
    <w:pPr>
      <w:ind w:left="720"/>
      <w:contextualSpacing/>
    </w:pPr>
  </w:style>
  <w:style w:type="paragraph" w:styleId="BalloonText">
    <w:name w:val="Balloon Text"/>
    <w:basedOn w:val="Normal"/>
    <w:link w:val="BalloonTextChar"/>
    <w:uiPriority w:val="99"/>
    <w:semiHidden/>
    <w:unhideWhenUsed/>
    <w:rsid w:val="0081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8D"/>
    <w:rPr>
      <w:rFonts w:ascii="Tahoma" w:hAnsi="Tahoma" w:cs="Tahoma"/>
      <w:sz w:val="16"/>
      <w:szCs w:val="16"/>
    </w:rPr>
  </w:style>
  <w:style w:type="paragraph" w:customStyle="1" w:styleId="AGSBodyText">
    <w:name w:val="AGS Body Text"/>
    <w:basedOn w:val="Normal"/>
    <w:qFormat/>
    <w:rsid w:val="00C6575B"/>
    <w:pPr>
      <w:spacing w:before="120" w:after="0"/>
      <w:jc w:val="both"/>
    </w:pPr>
  </w:style>
  <w:style w:type="character" w:styleId="Hyperlink">
    <w:name w:val="Hyperlink"/>
    <w:basedOn w:val="DefaultParagraphFont"/>
    <w:uiPriority w:val="99"/>
    <w:unhideWhenUsed/>
    <w:rsid w:val="0076186F"/>
    <w:rPr>
      <w:color w:val="0000FF" w:themeColor="hyperlink"/>
      <w:u w:val="single"/>
    </w:rPr>
  </w:style>
  <w:style w:type="character" w:styleId="FollowedHyperlink">
    <w:name w:val="FollowedHyperlink"/>
    <w:basedOn w:val="DefaultParagraphFont"/>
    <w:uiPriority w:val="99"/>
    <w:semiHidden/>
    <w:unhideWhenUsed/>
    <w:rsid w:val="009F3D07"/>
    <w:rPr>
      <w:color w:val="800080" w:themeColor="followedHyperlink"/>
      <w:u w:val="single"/>
    </w:rPr>
  </w:style>
  <w:style w:type="paragraph" w:styleId="FootnoteText">
    <w:name w:val="footnote text"/>
    <w:basedOn w:val="Normal"/>
    <w:link w:val="FootnoteTextChar"/>
    <w:uiPriority w:val="99"/>
    <w:semiHidden/>
    <w:unhideWhenUsed/>
    <w:rsid w:val="00723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313"/>
    <w:rPr>
      <w:sz w:val="20"/>
      <w:szCs w:val="20"/>
    </w:rPr>
  </w:style>
  <w:style w:type="character" w:styleId="FootnoteReference">
    <w:name w:val="footnote reference"/>
    <w:basedOn w:val="DefaultParagraphFont"/>
    <w:uiPriority w:val="99"/>
    <w:semiHidden/>
    <w:unhideWhenUsed/>
    <w:rsid w:val="00723313"/>
    <w:rPr>
      <w:vertAlign w:val="superscript"/>
    </w:rPr>
  </w:style>
  <w:style w:type="paragraph" w:styleId="Header">
    <w:name w:val="header"/>
    <w:basedOn w:val="Normal"/>
    <w:link w:val="HeaderChar"/>
    <w:uiPriority w:val="99"/>
    <w:unhideWhenUsed/>
    <w:rsid w:val="008B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BB"/>
  </w:style>
  <w:style w:type="paragraph" w:styleId="Footer">
    <w:name w:val="footer"/>
    <w:basedOn w:val="Normal"/>
    <w:link w:val="FooterChar"/>
    <w:uiPriority w:val="99"/>
    <w:unhideWhenUsed/>
    <w:rsid w:val="008B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cambs.gov.uk/sites/default/files/final_delivery_plan_adopted_by_council.pdf" TargetMode="External"/><Relationship Id="rId26" Type="http://schemas.openxmlformats.org/officeDocument/2006/relationships/hyperlink" Target="http://scambs.moderngov.co.uk/mgCommitteeDetails.aspx?ID=417" TargetMode="External"/><Relationship Id="rId3" Type="http://schemas.openxmlformats.org/officeDocument/2006/relationships/styles" Target="styles.xml"/><Relationship Id="rId21" Type="http://schemas.openxmlformats.org/officeDocument/2006/relationships/hyperlink" Target="https://www.scambs.gov.uk/sites/default/files/local_code_of_corporate_governance_2017_final_acgc_290917.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ambs.gov.uk/council-aims-and-objectives" TargetMode="External"/><Relationship Id="rId25" Type="http://schemas.openxmlformats.org/officeDocument/2006/relationships/hyperlink" Target="http://scambs.moderngov.co.uk/mgCommitteeDetails.aspx?ID=1029"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cambs.gov.uk/content/our-perform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ambs.moderngov.co.uk/ieListMeetings.aspx?CId=834&amp;Year=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ambs.moderngov.co.uk/mgCommitteeDetails.aspx?ID=293" TargetMode="External"/><Relationship Id="rId28" Type="http://schemas.openxmlformats.org/officeDocument/2006/relationships/hyperlink" Target="https://www.scambs.gov.uk/sites/default/files/local_code_of_corporate_governance_2017_final_acgc_290917.pdf" TargetMode="External"/><Relationship Id="rId10" Type="http://schemas.openxmlformats.org/officeDocument/2006/relationships/header" Target="header1.xml"/><Relationship Id="rId19" Type="http://schemas.openxmlformats.org/officeDocument/2006/relationships/hyperlink" Target="https://www.scambs.gov.uk/sites/default/files/corporate_plan_20172022_approved_by_council_0.pdf" TargetMode="External"/><Relationship Id="rId4" Type="http://schemas.microsoft.com/office/2007/relationships/stylesWithEffects" Target="stylesWithEffects.xml"/><Relationship Id="rId9" Type="http://schemas.openxmlformats.org/officeDocument/2006/relationships/hyperlink" Target="http://www.legislation.gov.uk/uksi/2015/234/regulation/15/made" TargetMode="External"/><Relationship Id="rId14" Type="http://schemas.openxmlformats.org/officeDocument/2006/relationships/header" Target="header3.xml"/><Relationship Id="rId22" Type="http://schemas.openxmlformats.org/officeDocument/2006/relationships/hyperlink" Target="http://scambs.moderngov.co.uk/mgCommitteeDetails.aspx?ID=410" TargetMode="External"/><Relationship Id="rId27" Type="http://schemas.openxmlformats.org/officeDocument/2006/relationships/hyperlink" Target="https://www.scambs.gov.uk/sites/default/files/final_signed_version.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cambs.gov.uk/sites/default/files/final_delivery_plan_adopted_by_council.pdf" TargetMode="External"/><Relationship Id="rId1" Type="http://schemas.openxmlformats.org/officeDocument/2006/relationships/hyperlink" Target="https://www.scambs.gov.uk/council-aims-and-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197C-55D1-445A-99AF-9AB0BDF5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Tully</dc:creator>
  <cp:lastModifiedBy>Administrator</cp:lastModifiedBy>
  <cp:revision>2</cp:revision>
  <cp:lastPrinted>2018-05-30T11:55:00Z</cp:lastPrinted>
  <dcterms:created xsi:type="dcterms:W3CDTF">2018-06-27T10:23:00Z</dcterms:created>
  <dcterms:modified xsi:type="dcterms:W3CDTF">2018-06-27T10:23:00Z</dcterms:modified>
</cp:coreProperties>
</file>